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041F" w14:textId="77777777" w:rsidR="00696D61" w:rsidRPr="00723574" w:rsidRDefault="00696D61" w:rsidP="00696D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Hlk75936124"/>
      <w:r w:rsidRPr="00C3254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United </w:t>
      </w:r>
      <w:r w:rsidRPr="00723574">
        <w:rPr>
          <w:rFonts w:ascii="Times New Roman" w:hAnsi="Times New Roman" w:cs="Times New Roman"/>
          <w:b/>
          <w:bCs/>
          <w:caps/>
          <w:sz w:val="24"/>
          <w:szCs w:val="24"/>
        </w:rPr>
        <w:t>States Bankruptcy Court for the</w:t>
      </w:r>
    </w:p>
    <w:p w14:paraId="2EFADB80" w14:textId="77777777" w:rsidR="00696D61" w:rsidRPr="00723574" w:rsidRDefault="00696D61" w:rsidP="00696D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2357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Northern District of Ohio </w:t>
      </w:r>
    </w:p>
    <w:p w14:paraId="68C386DA" w14:textId="77777777" w:rsidR="00696D61" w:rsidRPr="00723574" w:rsidRDefault="00696D61" w:rsidP="0095148B">
      <w:pPr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23574">
        <w:rPr>
          <w:rFonts w:ascii="Times New Roman" w:hAnsi="Times New Roman" w:cs="Times New Roman"/>
          <w:b/>
          <w:bCs/>
          <w:caps/>
          <w:sz w:val="24"/>
          <w:szCs w:val="24"/>
        </w:rPr>
        <w:t>Eastern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6D61" w:rsidRPr="00723574" w14:paraId="2B55594B" w14:textId="77777777" w:rsidTr="004E78F3">
        <w:tc>
          <w:tcPr>
            <w:tcW w:w="4675" w:type="dxa"/>
            <w:tcBorders>
              <w:left w:val="nil"/>
              <w:bottom w:val="single" w:sz="4" w:space="0" w:color="auto"/>
            </w:tcBorders>
          </w:tcPr>
          <w:p w14:paraId="301952BB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79B3C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re:</w:t>
            </w:r>
          </w:p>
          <w:p w14:paraId="2B5B3BB1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DC88B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D37522" w14:textId="30EA4D23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&lt;Debtor’s Name – Upper and lower case and bold&gt;,</w:t>
            </w:r>
          </w:p>
          <w:p w14:paraId="00415DC4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6D575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7DE9F" w14:textId="77777777" w:rsidR="00696D61" w:rsidRPr="00723574" w:rsidRDefault="00696D61" w:rsidP="002249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Debtor&lt;s&gt;.</w:t>
            </w:r>
          </w:p>
        </w:tc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14:paraId="079437F5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5C335C56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&lt;N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umber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</w:p>
          <w:p w14:paraId="396A4122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3C5192CA" w14:textId="38F7484B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ab/>
              <w:t>C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 No. &lt;N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umber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="00A57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(TNAP)</w:t>
            </w:r>
          </w:p>
          <w:p w14:paraId="20791644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80219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Judge Tiiara N.A. Patton</w:t>
            </w:r>
          </w:p>
        </w:tc>
      </w:tr>
      <w:tr w:rsidR="00696D61" w:rsidRPr="00723574" w14:paraId="28523474" w14:textId="77777777" w:rsidTr="004E78F3">
        <w:tc>
          <w:tcPr>
            <w:tcW w:w="4675" w:type="dxa"/>
            <w:tcBorders>
              <w:left w:val="nil"/>
            </w:tcBorders>
          </w:tcPr>
          <w:p w14:paraId="044F4E6B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00CE0" w14:textId="41A48D41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&lt;Plaintiff(s) – Upper and lower case and bold&gt;,</w:t>
            </w:r>
          </w:p>
          <w:p w14:paraId="587ADB72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Plaintiff&lt;s&gt;,</w:t>
            </w:r>
          </w:p>
          <w:p w14:paraId="7C4177CE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9E2067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  <w:p w14:paraId="2B4E1850" w14:textId="407BCCE4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078981" w14:textId="5F573BBE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&lt;Defendant(s) name – Upper and lower case and bold&gt;,</w:t>
            </w:r>
          </w:p>
          <w:p w14:paraId="32330EE7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F8344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Defendant&lt;s&gt;.</w:t>
            </w:r>
          </w:p>
        </w:tc>
        <w:tc>
          <w:tcPr>
            <w:tcW w:w="4675" w:type="dxa"/>
            <w:tcBorders>
              <w:right w:val="nil"/>
            </w:tcBorders>
          </w:tcPr>
          <w:p w14:paraId="12EBAF42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AF2BA6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2A73BE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7245B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32A72DA" w14:textId="29C3FC5B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Adv. Pro. No. &lt;N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umber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="00A57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(TNAP)</w:t>
            </w:r>
          </w:p>
          <w:p w14:paraId="2E84ED16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8414E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E1EC8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2FC981" w14:textId="77777777" w:rsidR="00696D61" w:rsidRPr="00723574" w:rsidRDefault="00696D61" w:rsidP="004E7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52EDBE" w14:textId="77777777" w:rsidR="00EA1082" w:rsidRDefault="00EA1082" w:rsidP="004E78F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691990C" w14:textId="77777777" w:rsidR="00EA1082" w:rsidRDefault="00EA1082" w:rsidP="004E78F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5AD8F19" w14:textId="77777777" w:rsidR="00EA1082" w:rsidRDefault="00EA1082" w:rsidP="004E78F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6D62E21" w14:textId="77777777" w:rsidR="00EA1082" w:rsidRDefault="00EA1082" w:rsidP="004E78F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  <w:sectPr w:rsidR="00EA1082" w:rsidSect="00874026">
          <w:footerReference w:type="default" r:id="rId8"/>
          <w:footerReference w:type="first" r:id="rId9"/>
          <w:pgSz w:w="12240" w:h="15840"/>
          <w:pgMar w:top="5760" w:right="1440" w:bottom="1440" w:left="1440" w:header="720" w:footer="720" w:gutter="0"/>
          <w:cols w:space="720"/>
          <w:titlePg/>
          <w:docGrid w:linePitch="360"/>
        </w:sectPr>
      </w:pPr>
    </w:p>
    <w:p w14:paraId="74B310C4" w14:textId="0BEE8A3A" w:rsidR="004E78F3" w:rsidRDefault="00EA1082" w:rsidP="004E78F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order scheduling tri</w:t>
      </w:r>
      <w:r w:rsidR="00696D6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al date </w:t>
      </w:r>
    </w:p>
    <w:p w14:paraId="14972C1D" w14:textId="77777777" w:rsidR="00696D61" w:rsidRPr="00723574" w:rsidRDefault="00696D61" w:rsidP="004E78F3">
      <w:pPr>
        <w:spacing w:after="24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1A3F6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and setting other related deadlines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06840039" w14:textId="6B70B2B7" w:rsidR="004671FC" w:rsidRDefault="00696D61" w:rsidP="00696D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74">
        <w:rPr>
          <w:rFonts w:ascii="Times New Roman" w:hAnsi="Times New Roman" w:cs="Times New Roman"/>
          <w:caps/>
          <w:sz w:val="24"/>
          <w:szCs w:val="24"/>
        </w:rPr>
        <w:tab/>
      </w:r>
      <w:r w:rsidRPr="00723574">
        <w:rPr>
          <w:rFonts w:ascii="Times New Roman" w:hAnsi="Times New Roman" w:cs="Times New Roman"/>
          <w:caps/>
          <w:sz w:val="24"/>
          <w:szCs w:val="24"/>
        </w:rPr>
        <w:tab/>
      </w:r>
      <w:r w:rsidR="00A0732B">
        <w:rPr>
          <w:rFonts w:ascii="Times New Roman" w:hAnsi="Times New Roman" w:cs="Times New Roman"/>
          <w:sz w:val="24"/>
          <w:szCs w:val="24"/>
        </w:rPr>
        <w:t>The Court held an initial pretrial</w:t>
      </w:r>
      <w:r w:rsidR="007C7ABD">
        <w:rPr>
          <w:rFonts w:ascii="Times New Roman" w:hAnsi="Times New Roman" w:cs="Times New Roman"/>
          <w:sz w:val="24"/>
          <w:szCs w:val="24"/>
        </w:rPr>
        <w:t xml:space="preserve"> in this matter</w:t>
      </w:r>
      <w:r w:rsidR="00A0732B">
        <w:rPr>
          <w:rFonts w:ascii="Times New Roman" w:hAnsi="Times New Roman" w:cs="Times New Roman"/>
          <w:sz w:val="24"/>
          <w:szCs w:val="24"/>
        </w:rPr>
        <w:t xml:space="preserve"> </w:t>
      </w:r>
      <w:r w:rsidR="004429E7">
        <w:rPr>
          <w:rFonts w:ascii="Times New Roman" w:hAnsi="Times New Roman" w:cs="Times New Roman"/>
          <w:sz w:val="24"/>
          <w:szCs w:val="24"/>
        </w:rPr>
        <w:t xml:space="preserve">on &lt;DATE&gt;. Appearances were made by the following at the hearing: 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600"/>
        <w:gridCol w:w="3826"/>
      </w:tblGrid>
      <w:tr w:rsidR="004429E7" w:rsidRPr="004429E7" w14:paraId="047C2693" w14:textId="77777777" w:rsidTr="0010592E">
        <w:tc>
          <w:tcPr>
            <w:tcW w:w="3600" w:type="dxa"/>
          </w:tcPr>
          <w:p w14:paraId="11093A37" w14:textId="77777777" w:rsidR="004429E7" w:rsidRPr="004429E7" w:rsidRDefault="004429E7" w:rsidP="0044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&lt;Attorney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Name</w:t>
            </w: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Esq. for </w:t>
            </w:r>
          </w:p>
        </w:tc>
        <w:tc>
          <w:tcPr>
            <w:tcW w:w="3826" w:type="dxa"/>
          </w:tcPr>
          <w:p w14:paraId="2A0B099A" w14:textId="296C52D1" w:rsidR="004429E7" w:rsidRPr="004429E7" w:rsidRDefault="004429E7" w:rsidP="0044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&lt;Party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Name</w:t>
            </w:r>
            <w:r w:rsidR="007B0E0C" w:rsidRPr="004429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7B0E0C">
              <w:rPr>
                <w:rFonts w:ascii="Times New Roman" w:hAnsi="Times New Roman" w:cs="Times New Roman"/>
                <w:sz w:val="24"/>
                <w:szCs w:val="24"/>
              </w:rPr>
              <w:t>, hereinafter “</w:t>
            </w:r>
            <w:r w:rsidR="00E805DF">
              <w:rPr>
                <w:rFonts w:ascii="Times New Roman" w:hAnsi="Times New Roman" w:cs="Times New Roman"/>
                <w:sz w:val="24"/>
                <w:szCs w:val="24"/>
              </w:rPr>
              <w:t>Plaintiff</w:t>
            </w:r>
            <w:r w:rsidR="007B0E0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429E7" w:rsidRPr="004429E7" w14:paraId="225B307A" w14:textId="77777777" w:rsidTr="0010592E">
        <w:tc>
          <w:tcPr>
            <w:tcW w:w="3600" w:type="dxa"/>
          </w:tcPr>
          <w:p w14:paraId="29E08FC6" w14:textId="77777777" w:rsidR="004429E7" w:rsidRPr="004429E7" w:rsidRDefault="004429E7" w:rsidP="0044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&lt;Attorney</w:t>
            </w:r>
            <w:r w:rsidR="0010592E">
              <w:rPr>
                <w:rFonts w:ascii="Times New Roman" w:hAnsi="Times New Roman" w:cs="Times New Roman"/>
                <w:sz w:val="24"/>
                <w:szCs w:val="24"/>
              </w:rPr>
              <w:t>’s Name</w:t>
            </w: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Esq. for </w:t>
            </w:r>
          </w:p>
        </w:tc>
        <w:tc>
          <w:tcPr>
            <w:tcW w:w="3826" w:type="dxa"/>
          </w:tcPr>
          <w:p w14:paraId="26F86584" w14:textId="197B92E8" w:rsidR="004429E7" w:rsidRPr="004429E7" w:rsidRDefault="004429E7" w:rsidP="0044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&lt;Party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Name</w:t>
            </w:r>
            <w:r w:rsidRPr="004429E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E8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0E0C">
              <w:rPr>
                <w:rFonts w:ascii="Times New Roman" w:hAnsi="Times New Roman" w:cs="Times New Roman"/>
                <w:sz w:val="24"/>
                <w:szCs w:val="24"/>
              </w:rPr>
              <w:t>hereinafter “</w:t>
            </w:r>
            <w:r w:rsidR="00E805DF">
              <w:rPr>
                <w:rFonts w:ascii="Times New Roman" w:hAnsi="Times New Roman" w:cs="Times New Roman"/>
                <w:sz w:val="24"/>
                <w:szCs w:val="24"/>
              </w:rPr>
              <w:t>Defendant</w:t>
            </w:r>
            <w:r w:rsidR="007B0E0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C730B" w:rsidRPr="004429E7" w14:paraId="2925F4D7" w14:textId="77777777" w:rsidTr="0010592E">
        <w:tc>
          <w:tcPr>
            <w:tcW w:w="3600" w:type="dxa"/>
          </w:tcPr>
          <w:p w14:paraId="7B3001C4" w14:textId="64D5F112" w:rsidR="002C730B" w:rsidRPr="002C730B" w:rsidRDefault="002C730B" w:rsidP="004429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&lt;Name&gt;,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 Se</w:t>
            </w:r>
          </w:p>
        </w:tc>
        <w:tc>
          <w:tcPr>
            <w:tcW w:w="3826" w:type="dxa"/>
          </w:tcPr>
          <w:p w14:paraId="7BC0A925" w14:textId="0CE2F962" w:rsidR="002C730B" w:rsidRPr="004429E7" w:rsidRDefault="002C730B" w:rsidP="00442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&lt;Plaintiff or Defendant&gt;</w:t>
            </w:r>
          </w:p>
        </w:tc>
      </w:tr>
    </w:tbl>
    <w:p w14:paraId="1F5F82A7" w14:textId="7A85E7CF" w:rsidR="004429E7" w:rsidRPr="004429E7" w:rsidRDefault="00730277" w:rsidP="004429E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151504"/>
      <w:bookmarkStart w:id="2" w:name="_Hlk50998721"/>
      <w:r w:rsidRPr="00723574">
        <w:rPr>
          <w:rFonts w:ascii="Times New Roman" w:hAnsi="Times New Roman" w:cs="Times New Roman"/>
          <w:sz w:val="24"/>
          <w:szCs w:val="24"/>
        </w:rPr>
        <w:t>The term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23574">
        <w:rPr>
          <w:rFonts w:ascii="Times New Roman" w:hAnsi="Times New Roman" w:cs="Times New Roman"/>
          <w:sz w:val="24"/>
          <w:szCs w:val="24"/>
        </w:rPr>
        <w:t>counsel</w:t>
      </w:r>
      <w:r>
        <w:rPr>
          <w:rFonts w:ascii="Times New Roman" w:hAnsi="Times New Roman" w:cs="Times New Roman"/>
          <w:sz w:val="24"/>
          <w:szCs w:val="24"/>
        </w:rPr>
        <w:t>” and “parties</w:t>
      </w:r>
      <w:r w:rsidRPr="007235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23574">
        <w:rPr>
          <w:rFonts w:ascii="Times New Roman" w:hAnsi="Times New Roman" w:cs="Times New Roman"/>
          <w:sz w:val="24"/>
          <w:szCs w:val="24"/>
        </w:rPr>
        <w:t xml:space="preserve"> as used in this Order, include the case attorney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3574">
        <w:rPr>
          <w:rFonts w:ascii="Times New Roman" w:hAnsi="Times New Roman" w:cs="Times New Roman"/>
          <w:sz w:val="24"/>
          <w:szCs w:val="24"/>
        </w:rPr>
        <w:t xml:space="preserve"> any other attorney designated or authorized to appear in this adversary proceeding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723574">
        <w:rPr>
          <w:rFonts w:ascii="Times New Roman" w:hAnsi="Times New Roman" w:cs="Times New Roman"/>
          <w:sz w:val="24"/>
          <w:szCs w:val="24"/>
        </w:rPr>
        <w:t>any individual appear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23574">
        <w:rPr>
          <w:rFonts w:ascii="Times New Roman" w:hAnsi="Times New Roman" w:cs="Times New Roman"/>
          <w:sz w:val="24"/>
          <w:szCs w:val="24"/>
        </w:rPr>
        <w:t xml:space="preserve"> </w:t>
      </w:r>
      <w:r w:rsidRPr="00723574">
        <w:rPr>
          <w:rFonts w:ascii="Times New Roman" w:hAnsi="Times New Roman" w:cs="Times New Roman"/>
          <w:i/>
          <w:iCs/>
          <w:sz w:val="24"/>
          <w:szCs w:val="24"/>
        </w:rPr>
        <w:t>pro se</w:t>
      </w:r>
      <w:bookmarkEnd w:id="1"/>
      <w:bookmarkEnd w:id="2"/>
      <w:r w:rsidR="0023707C">
        <w:rPr>
          <w:rFonts w:ascii="Times New Roman" w:hAnsi="Times New Roman" w:cs="Times New Roman"/>
          <w:sz w:val="24"/>
          <w:szCs w:val="24"/>
        </w:rPr>
        <w:t xml:space="preserve">. </w:t>
      </w:r>
      <w:r w:rsidR="004429E7" w:rsidRPr="0023707C">
        <w:rPr>
          <w:rFonts w:ascii="Times New Roman" w:hAnsi="Times New Roman" w:cs="Times New Roman"/>
          <w:sz w:val="24"/>
          <w:szCs w:val="24"/>
        </w:rPr>
        <w:t>Based</w:t>
      </w:r>
      <w:r w:rsidR="004429E7" w:rsidRPr="004429E7">
        <w:rPr>
          <w:rFonts w:ascii="Times New Roman" w:hAnsi="Times New Roman" w:cs="Times New Roman"/>
          <w:sz w:val="24"/>
          <w:szCs w:val="24"/>
        </w:rPr>
        <w:t xml:space="preserve"> upon the matters discussed during the initial pretrial hearing,</w:t>
      </w:r>
      <w:r w:rsidR="00105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3FB57" w14:textId="004C507E" w:rsidR="004429E7" w:rsidRDefault="004429E7" w:rsidP="00696D6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92E">
        <w:rPr>
          <w:rFonts w:ascii="Times New Roman" w:hAnsi="Times New Roman" w:cs="Times New Roman"/>
          <w:b/>
          <w:bCs/>
          <w:sz w:val="24"/>
          <w:szCs w:val="24"/>
        </w:rPr>
        <w:t>IT IS HEREBY ORDERED THAT</w:t>
      </w:r>
      <w:r w:rsidR="001059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82ACA3" w14:textId="386CC5C8" w:rsidR="0002602C" w:rsidRPr="0002602C" w:rsidRDefault="0002602C" w:rsidP="00E805DF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Corporate Ownership Statement</w:t>
      </w:r>
      <w:r>
        <w:rPr>
          <w:rFonts w:ascii="Times New Roman" w:hAnsi="Times New Roman" w:cs="Times New Roman"/>
          <w:sz w:val="24"/>
          <w:szCs w:val="24"/>
        </w:rPr>
        <w:t xml:space="preserve">. Any party that is subject to </w:t>
      </w:r>
      <w:r w:rsidR="00D16E75">
        <w:rPr>
          <w:rFonts w:ascii="Times New Roman" w:hAnsi="Times New Roman" w:cs="Times New Roman"/>
          <w:sz w:val="24"/>
          <w:szCs w:val="24"/>
        </w:rPr>
        <w:t xml:space="preserve">Rule 7007.1 </w:t>
      </w:r>
      <w:r>
        <w:rPr>
          <w:rFonts w:ascii="Times New Roman" w:hAnsi="Times New Roman" w:cs="Times New Roman"/>
          <w:sz w:val="24"/>
          <w:szCs w:val="24"/>
        </w:rPr>
        <w:t>Federal Rule of Bankruptcy Procedure</w:t>
      </w:r>
      <w:r w:rsidR="00D16E75">
        <w:rPr>
          <w:rFonts w:ascii="Times New Roman" w:hAnsi="Times New Roman" w:cs="Times New Roman"/>
          <w:sz w:val="24"/>
          <w:szCs w:val="24"/>
        </w:rPr>
        <w:t xml:space="preserve"> (“</w:t>
      </w:r>
      <w:r w:rsidR="00D16E75">
        <w:rPr>
          <w:rFonts w:ascii="Times New Roman" w:hAnsi="Times New Roman" w:cs="Times New Roman"/>
          <w:sz w:val="24"/>
          <w:szCs w:val="24"/>
          <w:u w:val="single"/>
        </w:rPr>
        <w:t>Bankruptcy Rule</w:t>
      </w:r>
      <w:r w:rsidR="00D16E75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shall file the require</w:t>
      </w:r>
      <w:r w:rsidR="009D67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disclosure on or before &lt;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14:paraId="25DE4AE3" w14:textId="7F5B525D" w:rsidR="007B6EA0" w:rsidRPr="0002602C" w:rsidRDefault="007B6EA0" w:rsidP="00E805DF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Disclosure of Experts</w:t>
      </w:r>
      <w:r w:rsidRPr="0002602C">
        <w:rPr>
          <w:rFonts w:ascii="Times New Roman" w:hAnsi="Times New Roman" w:cs="Times New Roman"/>
          <w:sz w:val="24"/>
          <w:szCs w:val="24"/>
        </w:rPr>
        <w:t>. No later than &lt;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02602C">
        <w:rPr>
          <w:rFonts w:ascii="Times New Roman" w:hAnsi="Times New Roman" w:cs="Times New Roman"/>
          <w:sz w:val="24"/>
          <w:szCs w:val="24"/>
        </w:rPr>
        <w:t xml:space="preserve">&gt;, </w:t>
      </w:r>
      <w:r w:rsidR="006F62EB" w:rsidRPr="0002602C">
        <w:rPr>
          <w:rFonts w:ascii="Times New Roman" w:hAnsi="Times New Roman" w:cs="Times New Roman"/>
          <w:sz w:val="24"/>
          <w:szCs w:val="24"/>
        </w:rPr>
        <w:t xml:space="preserve">all expert witnesses shall be </w:t>
      </w:r>
      <w:proofErr w:type="gramStart"/>
      <w:r w:rsidR="006F62EB" w:rsidRPr="0002602C">
        <w:rPr>
          <w:rFonts w:ascii="Times New Roman" w:hAnsi="Times New Roman" w:cs="Times New Roman"/>
          <w:sz w:val="24"/>
          <w:szCs w:val="24"/>
        </w:rPr>
        <w:t>identified</w:t>
      </w:r>
      <w:proofErr w:type="gramEnd"/>
      <w:r w:rsidR="006F62EB" w:rsidRPr="0002602C">
        <w:rPr>
          <w:rFonts w:ascii="Times New Roman" w:hAnsi="Times New Roman" w:cs="Times New Roman"/>
          <w:sz w:val="24"/>
          <w:szCs w:val="24"/>
        </w:rPr>
        <w:t xml:space="preserve"> and a copy of each expert’s report shall be provided to every other party, in accordance with </w:t>
      </w:r>
      <w:r w:rsidR="00D16E75">
        <w:rPr>
          <w:rFonts w:ascii="Times New Roman" w:hAnsi="Times New Roman" w:cs="Times New Roman"/>
          <w:sz w:val="24"/>
          <w:szCs w:val="24"/>
        </w:rPr>
        <w:t xml:space="preserve">Rule </w:t>
      </w:r>
      <w:r w:rsidR="00D16E75" w:rsidRPr="0002602C">
        <w:rPr>
          <w:rFonts w:ascii="Times New Roman" w:hAnsi="Times New Roman" w:cs="Times New Roman"/>
          <w:sz w:val="24"/>
          <w:szCs w:val="24"/>
        </w:rPr>
        <w:t>26(a)(2)</w:t>
      </w:r>
      <w:r w:rsidR="00D16E75">
        <w:rPr>
          <w:rFonts w:ascii="Times New Roman" w:hAnsi="Times New Roman" w:cs="Times New Roman"/>
          <w:sz w:val="24"/>
          <w:szCs w:val="24"/>
        </w:rPr>
        <w:t xml:space="preserve"> of the </w:t>
      </w:r>
      <w:r w:rsidR="006F62EB" w:rsidRPr="0002602C">
        <w:rPr>
          <w:rFonts w:ascii="Times New Roman" w:hAnsi="Times New Roman" w:cs="Times New Roman"/>
          <w:sz w:val="24"/>
          <w:szCs w:val="24"/>
        </w:rPr>
        <w:t>Fede</w:t>
      </w:r>
      <w:r w:rsidRPr="0002602C">
        <w:rPr>
          <w:rFonts w:ascii="Times New Roman" w:hAnsi="Times New Roman" w:cs="Times New Roman"/>
          <w:sz w:val="24"/>
          <w:szCs w:val="24"/>
        </w:rPr>
        <w:t>ral Rule of Civil Procedure</w:t>
      </w:r>
      <w:r w:rsidR="00D16E75">
        <w:rPr>
          <w:rFonts w:ascii="Times New Roman" w:hAnsi="Times New Roman" w:cs="Times New Roman"/>
          <w:sz w:val="24"/>
          <w:szCs w:val="24"/>
        </w:rPr>
        <w:t xml:space="preserve"> (“</w:t>
      </w:r>
      <w:r w:rsidR="007B0E0C">
        <w:rPr>
          <w:rFonts w:ascii="Times New Roman" w:hAnsi="Times New Roman" w:cs="Times New Roman"/>
          <w:sz w:val="24"/>
          <w:szCs w:val="24"/>
          <w:u w:val="single"/>
        </w:rPr>
        <w:t xml:space="preserve">Federal </w:t>
      </w:r>
      <w:r w:rsidR="00D16E75">
        <w:rPr>
          <w:rFonts w:ascii="Times New Roman" w:hAnsi="Times New Roman" w:cs="Times New Roman"/>
          <w:sz w:val="24"/>
          <w:szCs w:val="24"/>
          <w:u w:val="single"/>
        </w:rPr>
        <w:t>Rule</w:t>
      </w:r>
      <w:r w:rsidR="00D16E75">
        <w:rPr>
          <w:rFonts w:ascii="Times New Roman" w:hAnsi="Times New Roman" w:cs="Times New Roman"/>
          <w:sz w:val="24"/>
          <w:szCs w:val="24"/>
        </w:rPr>
        <w:t>”)</w:t>
      </w:r>
      <w:r w:rsidRPr="0002602C">
        <w:rPr>
          <w:rFonts w:ascii="Times New Roman" w:hAnsi="Times New Roman" w:cs="Times New Roman"/>
          <w:sz w:val="24"/>
          <w:szCs w:val="24"/>
        </w:rPr>
        <w:t xml:space="preserve">, </w:t>
      </w:r>
      <w:r w:rsidR="00C021D4" w:rsidRPr="00723574">
        <w:rPr>
          <w:rFonts w:ascii="Times New Roman" w:hAnsi="Times New Roman" w:cs="Times New Roman"/>
          <w:sz w:val="24"/>
          <w:szCs w:val="24"/>
        </w:rPr>
        <w:t xml:space="preserve">incorporated </w:t>
      </w:r>
      <w:r w:rsidR="0023707C">
        <w:rPr>
          <w:rFonts w:ascii="Times New Roman" w:hAnsi="Times New Roman" w:cs="Times New Roman"/>
          <w:sz w:val="24"/>
          <w:szCs w:val="24"/>
        </w:rPr>
        <w:t xml:space="preserve">and made applicable to this proceeding </w:t>
      </w:r>
      <w:r w:rsidR="00C021D4" w:rsidRPr="00723574">
        <w:rPr>
          <w:rFonts w:ascii="Times New Roman" w:hAnsi="Times New Roman" w:cs="Times New Roman"/>
          <w:sz w:val="24"/>
          <w:szCs w:val="24"/>
        </w:rPr>
        <w:t xml:space="preserve">by Bankruptcy </w:t>
      </w:r>
      <w:r w:rsidR="00D16E75">
        <w:rPr>
          <w:rFonts w:ascii="Times New Roman" w:hAnsi="Times New Roman" w:cs="Times New Roman"/>
          <w:sz w:val="24"/>
          <w:szCs w:val="24"/>
        </w:rPr>
        <w:t>Rules</w:t>
      </w:r>
      <w:r w:rsidR="00C021D4" w:rsidRPr="00723574">
        <w:rPr>
          <w:rFonts w:ascii="Times New Roman" w:hAnsi="Times New Roman" w:cs="Times New Roman"/>
          <w:sz w:val="24"/>
          <w:szCs w:val="24"/>
        </w:rPr>
        <w:t xml:space="preserve"> </w:t>
      </w:r>
      <w:r w:rsidRPr="0002602C">
        <w:rPr>
          <w:rFonts w:ascii="Times New Roman" w:hAnsi="Times New Roman" w:cs="Times New Roman"/>
          <w:sz w:val="24"/>
          <w:szCs w:val="24"/>
        </w:rPr>
        <w:t>7026 and 9014.</w:t>
      </w:r>
    </w:p>
    <w:p w14:paraId="350D11CB" w14:textId="0C2E4606" w:rsidR="007B6EA0" w:rsidRPr="0002602C" w:rsidRDefault="007B6EA0" w:rsidP="00E805DF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Discovery Completion Date</w:t>
      </w:r>
      <w:r w:rsidRPr="0002602C">
        <w:rPr>
          <w:rFonts w:ascii="Times New Roman" w:hAnsi="Times New Roman" w:cs="Times New Roman"/>
          <w:sz w:val="24"/>
          <w:szCs w:val="24"/>
        </w:rPr>
        <w:t>. Unless otherwise ordered by the Court, all discovery</w:t>
      </w:r>
      <w:r w:rsidR="00202BE4" w:rsidRPr="0002602C">
        <w:rPr>
          <w:rFonts w:ascii="Times New Roman" w:hAnsi="Times New Roman" w:cs="Times New Roman"/>
          <w:sz w:val="24"/>
          <w:szCs w:val="24"/>
        </w:rPr>
        <w:t>, including depositions of fact and expert witness</w:t>
      </w:r>
      <w:r w:rsidR="00361B4B">
        <w:rPr>
          <w:rFonts w:ascii="Times New Roman" w:hAnsi="Times New Roman" w:cs="Times New Roman"/>
          <w:sz w:val="24"/>
          <w:szCs w:val="24"/>
        </w:rPr>
        <w:t>es</w:t>
      </w:r>
      <w:r w:rsidR="00202BE4" w:rsidRPr="0002602C">
        <w:rPr>
          <w:rFonts w:ascii="Times New Roman" w:hAnsi="Times New Roman" w:cs="Times New Roman"/>
          <w:sz w:val="24"/>
          <w:szCs w:val="24"/>
        </w:rPr>
        <w:t>,</w:t>
      </w:r>
      <w:r w:rsidRPr="0002602C">
        <w:rPr>
          <w:rFonts w:ascii="Times New Roman" w:hAnsi="Times New Roman" w:cs="Times New Roman"/>
          <w:sz w:val="24"/>
          <w:szCs w:val="24"/>
        </w:rPr>
        <w:t xml:space="preserve"> shall be completed on or before &lt;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02602C">
        <w:rPr>
          <w:rFonts w:ascii="Times New Roman" w:hAnsi="Times New Roman" w:cs="Times New Roman"/>
          <w:sz w:val="24"/>
          <w:szCs w:val="24"/>
        </w:rPr>
        <w:t>&gt; (“</w:t>
      </w:r>
      <w:r w:rsidRPr="0002602C">
        <w:rPr>
          <w:rFonts w:ascii="Times New Roman" w:hAnsi="Times New Roman" w:cs="Times New Roman"/>
          <w:sz w:val="24"/>
          <w:szCs w:val="24"/>
          <w:u w:val="single"/>
        </w:rPr>
        <w:t>Discovery Completion Date</w:t>
      </w:r>
      <w:r w:rsidRPr="0002602C">
        <w:rPr>
          <w:rFonts w:ascii="Times New Roman" w:hAnsi="Times New Roman" w:cs="Times New Roman"/>
          <w:sz w:val="24"/>
          <w:szCs w:val="24"/>
        </w:rPr>
        <w:t>”). Any request(s) to extend the Discovery Completion Date shall (</w:t>
      </w:r>
      <w:r w:rsidR="00483A86">
        <w:rPr>
          <w:rFonts w:ascii="Times New Roman" w:hAnsi="Times New Roman" w:cs="Times New Roman"/>
          <w:sz w:val="24"/>
          <w:szCs w:val="24"/>
        </w:rPr>
        <w:t>a</w:t>
      </w:r>
      <w:r w:rsidRPr="0002602C">
        <w:rPr>
          <w:rFonts w:ascii="Times New Roman" w:hAnsi="Times New Roman" w:cs="Times New Roman"/>
          <w:sz w:val="24"/>
          <w:szCs w:val="24"/>
        </w:rPr>
        <w:t>) be made by motion; (</w:t>
      </w:r>
      <w:r w:rsidR="00483A86">
        <w:rPr>
          <w:rFonts w:ascii="Times New Roman" w:hAnsi="Times New Roman" w:cs="Times New Roman"/>
          <w:sz w:val="24"/>
          <w:szCs w:val="24"/>
        </w:rPr>
        <w:t>b</w:t>
      </w:r>
      <w:r w:rsidRPr="0002602C">
        <w:rPr>
          <w:rFonts w:ascii="Times New Roman" w:hAnsi="Times New Roman" w:cs="Times New Roman"/>
          <w:sz w:val="24"/>
          <w:szCs w:val="24"/>
        </w:rPr>
        <w:t>) include a reason for the requested extension; and (</w:t>
      </w:r>
      <w:r w:rsidR="00483A86">
        <w:rPr>
          <w:rFonts w:ascii="Times New Roman" w:hAnsi="Times New Roman" w:cs="Times New Roman"/>
          <w:sz w:val="24"/>
          <w:szCs w:val="24"/>
        </w:rPr>
        <w:t>c</w:t>
      </w:r>
      <w:r w:rsidRPr="0002602C">
        <w:rPr>
          <w:rFonts w:ascii="Times New Roman" w:hAnsi="Times New Roman" w:cs="Times New Roman"/>
          <w:sz w:val="24"/>
          <w:szCs w:val="24"/>
        </w:rPr>
        <w:t>) be filed prior to the Discovery Completion Date.</w:t>
      </w:r>
    </w:p>
    <w:p w14:paraId="7EFDB4F0" w14:textId="04865150" w:rsidR="00202BE4" w:rsidRPr="0002602C" w:rsidRDefault="00202BE4" w:rsidP="006F62EB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lastRenderedPageBreak/>
        <w:t>Dispositive Motions</w:t>
      </w:r>
      <w:r w:rsidRPr="0002602C">
        <w:rPr>
          <w:rFonts w:ascii="Times New Roman" w:hAnsi="Times New Roman" w:cs="Times New Roman"/>
          <w:sz w:val="24"/>
          <w:szCs w:val="24"/>
        </w:rPr>
        <w:t>.</w:t>
      </w:r>
      <w:r w:rsidR="006F62EB" w:rsidRPr="0002602C">
        <w:rPr>
          <w:rFonts w:ascii="Times New Roman" w:hAnsi="Times New Roman" w:cs="Times New Roman"/>
          <w:sz w:val="24"/>
          <w:szCs w:val="24"/>
        </w:rPr>
        <w:t xml:space="preserve"> </w:t>
      </w:r>
      <w:r w:rsidR="006F62EB" w:rsidRPr="0002602C">
        <w:rPr>
          <w:rFonts w:ascii="Times New Roman" w:hAnsi="Times New Roman" w:cs="Times New Roman"/>
          <w:bCs/>
          <w:sz w:val="24"/>
          <w:szCs w:val="24"/>
        </w:rPr>
        <w:t>The deadline for filing dispositive motions is &lt;</w:t>
      </w:r>
      <w:r w:rsidR="006F62EB" w:rsidRPr="008136CD">
        <w:rPr>
          <w:rFonts w:ascii="Times New Roman" w:hAnsi="Times New Roman" w:cs="Times New Roman"/>
          <w:b/>
          <w:sz w:val="24"/>
          <w:szCs w:val="24"/>
        </w:rPr>
        <w:t>Date</w:t>
      </w:r>
      <w:r w:rsidR="006F62EB" w:rsidRPr="0002602C">
        <w:rPr>
          <w:rFonts w:ascii="Times New Roman" w:hAnsi="Times New Roman" w:cs="Times New Roman"/>
          <w:bCs/>
          <w:sz w:val="24"/>
          <w:szCs w:val="24"/>
        </w:rPr>
        <w:t>&gt;.  Briefs in opposition are due &lt;</w:t>
      </w:r>
      <w:r w:rsidR="006F62EB" w:rsidRPr="008136CD">
        <w:rPr>
          <w:rFonts w:ascii="Times New Roman" w:hAnsi="Times New Roman" w:cs="Times New Roman"/>
          <w:b/>
          <w:sz w:val="24"/>
          <w:szCs w:val="24"/>
        </w:rPr>
        <w:t>Date</w:t>
      </w:r>
      <w:r w:rsidR="006F62EB" w:rsidRPr="0002602C">
        <w:rPr>
          <w:rFonts w:ascii="Times New Roman" w:hAnsi="Times New Roman" w:cs="Times New Roman"/>
          <w:bCs/>
          <w:sz w:val="24"/>
          <w:szCs w:val="24"/>
        </w:rPr>
        <w:t>&gt;, and optional reply briefs are due &lt;</w:t>
      </w:r>
      <w:r w:rsidR="006F62EB" w:rsidRPr="008136CD">
        <w:rPr>
          <w:rFonts w:ascii="Times New Roman" w:hAnsi="Times New Roman" w:cs="Times New Roman"/>
          <w:b/>
          <w:sz w:val="24"/>
          <w:szCs w:val="24"/>
        </w:rPr>
        <w:t>Date</w:t>
      </w:r>
      <w:r w:rsidR="006F62EB" w:rsidRPr="0002602C">
        <w:rPr>
          <w:rFonts w:ascii="Times New Roman" w:hAnsi="Times New Roman" w:cs="Times New Roman"/>
          <w:bCs/>
          <w:sz w:val="24"/>
          <w:szCs w:val="24"/>
        </w:rPr>
        <w:t>&gt;. No other briefs may be filed without leave of the Court.</w:t>
      </w:r>
    </w:p>
    <w:p w14:paraId="1688E0DD" w14:textId="77777777" w:rsidR="001E3DA5" w:rsidRPr="0002602C" w:rsidRDefault="001E3DA5" w:rsidP="006F62EB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646244"/>
      <w:r w:rsidRPr="0002602C">
        <w:rPr>
          <w:rFonts w:ascii="Times New Roman" w:hAnsi="Times New Roman" w:cs="Times New Roman"/>
          <w:sz w:val="24"/>
          <w:szCs w:val="24"/>
          <w:u w:val="single"/>
        </w:rPr>
        <w:t>Discovery Disclosures</w:t>
      </w:r>
      <w:r w:rsidRPr="000260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FC44F" w14:textId="2FEA1F0A" w:rsidR="001E3DA5" w:rsidRPr="0002602C" w:rsidRDefault="001E3DA5" w:rsidP="00B37A92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</w:rPr>
        <w:t xml:space="preserve">All discovery disclosures pursuant to </w:t>
      </w:r>
      <w:r w:rsidR="007B0E0C">
        <w:rPr>
          <w:rFonts w:ascii="Times New Roman" w:hAnsi="Times New Roman" w:cs="Times New Roman"/>
          <w:sz w:val="24"/>
          <w:szCs w:val="24"/>
        </w:rPr>
        <w:t xml:space="preserve">Federal </w:t>
      </w:r>
      <w:r w:rsidR="00D16E75">
        <w:rPr>
          <w:rFonts w:ascii="Times New Roman" w:hAnsi="Times New Roman" w:cs="Times New Roman"/>
          <w:sz w:val="24"/>
          <w:szCs w:val="24"/>
        </w:rPr>
        <w:t>Rule</w:t>
      </w:r>
      <w:r w:rsidRPr="0002602C">
        <w:rPr>
          <w:rFonts w:ascii="Times New Roman" w:hAnsi="Times New Roman" w:cs="Times New Roman"/>
          <w:sz w:val="24"/>
          <w:szCs w:val="24"/>
        </w:rPr>
        <w:t xml:space="preserve"> 26(a)(3) shall be served on opposing parties and filed with the Court on or before &lt;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02602C">
        <w:rPr>
          <w:rFonts w:ascii="Times New Roman" w:hAnsi="Times New Roman" w:cs="Times New Roman"/>
          <w:sz w:val="24"/>
          <w:szCs w:val="24"/>
        </w:rPr>
        <w:t xml:space="preserve"> &gt;.</w:t>
      </w:r>
    </w:p>
    <w:p w14:paraId="4426D418" w14:textId="4C3271B9" w:rsidR="001E3DA5" w:rsidRPr="0002602C" w:rsidRDefault="001E3DA5" w:rsidP="00B37A92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</w:rPr>
        <w:t xml:space="preserve">Any objections to </w:t>
      </w:r>
      <w:r w:rsidR="007B0E0C">
        <w:rPr>
          <w:rFonts w:ascii="Times New Roman" w:hAnsi="Times New Roman" w:cs="Times New Roman"/>
          <w:sz w:val="24"/>
          <w:szCs w:val="24"/>
        </w:rPr>
        <w:t xml:space="preserve">Federal </w:t>
      </w:r>
      <w:r w:rsidR="00D16E75">
        <w:rPr>
          <w:rFonts w:ascii="Times New Roman" w:hAnsi="Times New Roman" w:cs="Times New Roman"/>
          <w:sz w:val="24"/>
          <w:szCs w:val="24"/>
        </w:rPr>
        <w:t>Rule</w:t>
      </w:r>
      <w:r w:rsidRPr="0002602C">
        <w:rPr>
          <w:rFonts w:ascii="Times New Roman" w:hAnsi="Times New Roman" w:cs="Times New Roman"/>
          <w:sz w:val="24"/>
          <w:szCs w:val="24"/>
        </w:rPr>
        <w:t xml:space="preserve"> 26(a)(3) disclosures shall be served on opposing parties and filed with the Court on or before &lt;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8136CD" w:rsidRPr="0002602C">
        <w:rPr>
          <w:rFonts w:ascii="Times New Roman" w:hAnsi="Times New Roman" w:cs="Times New Roman"/>
          <w:sz w:val="24"/>
          <w:szCs w:val="24"/>
        </w:rPr>
        <w:t xml:space="preserve"> </w:t>
      </w:r>
      <w:r w:rsidRPr="0002602C">
        <w:rPr>
          <w:rFonts w:ascii="Times New Roman" w:hAnsi="Times New Roman" w:cs="Times New Roman"/>
          <w:sz w:val="24"/>
          <w:szCs w:val="24"/>
        </w:rPr>
        <w:t>&gt;.</w:t>
      </w:r>
    </w:p>
    <w:bookmarkEnd w:id="3"/>
    <w:p w14:paraId="0B26ADCA" w14:textId="527F5F8A" w:rsidR="00057877" w:rsidRPr="0002602C" w:rsidRDefault="001E3DA5" w:rsidP="00057877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Joint Pretrial Statement</w:t>
      </w:r>
      <w:r w:rsidRPr="0002602C">
        <w:rPr>
          <w:rFonts w:ascii="Times New Roman" w:hAnsi="Times New Roman" w:cs="Times New Roman"/>
          <w:sz w:val="24"/>
          <w:szCs w:val="24"/>
        </w:rPr>
        <w:t xml:space="preserve">. </w:t>
      </w:r>
      <w:r w:rsidR="002C6426" w:rsidRPr="0002602C">
        <w:rPr>
          <w:rFonts w:ascii="Times New Roman" w:hAnsi="Times New Roman" w:cs="Times New Roman"/>
          <w:sz w:val="24"/>
          <w:szCs w:val="24"/>
        </w:rPr>
        <w:t>On or before &lt;</w:t>
      </w:r>
      <w:r w:rsidR="002C6426"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8136CD" w:rsidRPr="0002602C">
        <w:rPr>
          <w:rFonts w:ascii="Times New Roman" w:hAnsi="Times New Roman" w:cs="Times New Roman"/>
          <w:sz w:val="24"/>
          <w:szCs w:val="24"/>
        </w:rPr>
        <w:t xml:space="preserve"> 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&gt;, the parties shall file </w:t>
      </w:r>
      <w:r w:rsidR="00E20EF8">
        <w:rPr>
          <w:rFonts w:ascii="Times New Roman" w:hAnsi="Times New Roman" w:cs="Times New Roman"/>
          <w:sz w:val="24"/>
          <w:szCs w:val="24"/>
        </w:rPr>
        <w:t xml:space="preserve">with the Court 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a joint pretrial statement consistent with the form set forth in </w:t>
      </w:r>
      <w:r w:rsidR="00057877" w:rsidRPr="0002602C">
        <w:rPr>
          <w:rFonts w:ascii="Times New Roman" w:hAnsi="Times New Roman" w:cs="Times New Roman"/>
          <w:sz w:val="24"/>
          <w:szCs w:val="24"/>
        </w:rPr>
        <w:t xml:space="preserve">Paragraph </w:t>
      </w:r>
      <w:r w:rsidR="005B7CBF">
        <w:rPr>
          <w:rFonts w:ascii="Times New Roman" w:hAnsi="Times New Roman" w:cs="Times New Roman"/>
          <w:sz w:val="24"/>
          <w:szCs w:val="24"/>
        </w:rPr>
        <w:t>7</w:t>
      </w:r>
      <w:r w:rsidR="00057877" w:rsidRPr="0002602C">
        <w:rPr>
          <w:rFonts w:ascii="Times New Roman" w:hAnsi="Times New Roman" w:cs="Times New Roman"/>
          <w:sz w:val="24"/>
          <w:szCs w:val="24"/>
        </w:rPr>
        <w:t xml:space="preserve"> 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below. The joint pretrial statement shall be signed by all counsel. It is the obligation of </w:t>
      </w:r>
      <w:r w:rsidR="006C4516">
        <w:rPr>
          <w:rFonts w:ascii="Times New Roman" w:hAnsi="Times New Roman" w:cs="Times New Roman"/>
          <w:sz w:val="24"/>
          <w:szCs w:val="24"/>
        </w:rPr>
        <w:t>P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laintiff’s counsel to initiate, assemble, and submit the proposed </w:t>
      </w:r>
      <w:r w:rsidR="00C021D4">
        <w:rPr>
          <w:rFonts w:ascii="Times New Roman" w:hAnsi="Times New Roman" w:cs="Times New Roman"/>
          <w:sz w:val="24"/>
          <w:szCs w:val="24"/>
        </w:rPr>
        <w:t xml:space="preserve">joint 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pretrial statement. Plaintiff’s counsel shall submit a proposed joint </w:t>
      </w:r>
      <w:r w:rsidR="00C021D4">
        <w:rPr>
          <w:rFonts w:ascii="Times New Roman" w:hAnsi="Times New Roman" w:cs="Times New Roman"/>
          <w:sz w:val="24"/>
          <w:szCs w:val="24"/>
        </w:rPr>
        <w:t xml:space="preserve">pretrial 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statement to </w:t>
      </w:r>
      <w:r w:rsidR="006C4516">
        <w:rPr>
          <w:rFonts w:ascii="Times New Roman" w:hAnsi="Times New Roman" w:cs="Times New Roman"/>
          <w:sz w:val="24"/>
          <w:szCs w:val="24"/>
        </w:rPr>
        <w:t>D</w:t>
      </w:r>
      <w:r w:rsidR="002C6426" w:rsidRPr="0002602C">
        <w:rPr>
          <w:rFonts w:ascii="Times New Roman" w:hAnsi="Times New Roman" w:cs="Times New Roman"/>
          <w:sz w:val="24"/>
          <w:szCs w:val="24"/>
        </w:rPr>
        <w:t>efendant’s counsel not less than</w:t>
      </w:r>
      <w:r w:rsidR="005C38F9">
        <w:rPr>
          <w:rFonts w:ascii="Times New Roman" w:hAnsi="Times New Roman" w:cs="Times New Roman"/>
          <w:sz w:val="24"/>
          <w:szCs w:val="24"/>
        </w:rPr>
        <w:t xml:space="preserve"> seven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 </w:t>
      </w:r>
      <w:r w:rsidR="005C38F9">
        <w:rPr>
          <w:rFonts w:ascii="Times New Roman" w:hAnsi="Times New Roman" w:cs="Times New Roman"/>
          <w:sz w:val="24"/>
          <w:szCs w:val="24"/>
        </w:rPr>
        <w:t>(</w:t>
      </w:r>
      <w:r w:rsidR="002C6426" w:rsidRPr="0002602C">
        <w:rPr>
          <w:rFonts w:ascii="Times New Roman" w:hAnsi="Times New Roman" w:cs="Times New Roman"/>
          <w:sz w:val="24"/>
          <w:szCs w:val="24"/>
        </w:rPr>
        <w:t>7</w:t>
      </w:r>
      <w:r w:rsidR="005C38F9">
        <w:rPr>
          <w:rFonts w:ascii="Times New Roman" w:hAnsi="Times New Roman" w:cs="Times New Roman"/>
          <w:sz w:val="24"/>
          <w:szCs w:val="24"/>
        </w:rPr>
        <w:t>)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 days prior to the deadline for its submission. Counsel </w:t>
      </w:r>
      <w:proofErr w:type="gramStart"/>
      <w:r w:rsidR="000504F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2C6426" w:rsidRPr="0002602C">
        <w:rPr>
          <w:rFonts w:ascii="Times New Roman" w:hAnsi="Times New Roman" w:cs="Times New Roman"/>
          <w:sz w:val="24"/>
          <w:szCs w:val="24"/>
        </w:rPr>
        <w:t xml:space="preserve"> expected to make a diligent effort to prepare a proposed </w:t>
      </w:r>
      <w:r w:rsidR="001960A6">
        <w:rPr>
          <w:rFonts w:ascii="Times New Roman" w:hAnsi="Times New Roman" w:cs="Times New Roman"/>
          <w:sz w:val="24"/>
          <w:szCs w:val="24"/>
        </w:rPr>
        <w:t xml:space="preserve">joint </w:t>
      </w:r>
      <w:r w:rsidR="002C6426" w:rsidRPr="0002602C">
        <w:rPr>
          <w:rFonts w:ascii="Times New Roman" w:hAnsi="Times New Roman" w:cs="Times New Roman"/>
          <w:sz w:val="24"/>
          <w:szCs w:val="24"/>
        </w:rPr>
        <w:t xml:space="preserve">pretrial statement </w:t>
      </w:r>
      <w:r w:rsidR="00E20EF8">
        <w:rPr>
          <w:rFonts w:ascii="Times New Roman" w:hAnsi="Times New Roman" w:cs="Times New Roman"/>
          <w:sz w:val="24"/>
          <w:szCs w:val="24"/>
        </w:rPr>
        <w:t xml:space="preserve">that includes all issues, both disputed and undisputed. </w:t>
      </w:r>
      <w:r w:rsidR="002C6426" w:rsidRPr="0002602C">
        <w:rPr>
          <w:rFonts w:ascii="Times New Roman" w:hAnsi="Times New Roman" w:cs="Times New Roman"/>
          <w:sz w:val="24"/>
          <w:szCs w:val="24"/>
        </w:rPr>
        <w:t>Amendments will be allowed only in exceptional circumstances and to prevent manifest injustice.</w:t>
      </w:r>
    </w:p>
    <w:p w14:paraId="6D83DBB6" w14:textId="640C74B8" w:rsidR="00057877" w:rsidRPr="0002602C" w:rsidRDefault="00057877" w:rsidP="001E3DA5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</w:rPr>
        <w:t>The joint pretrial statement shall be in the following form:</w:t>
      </w:r>
    </w:p>
    <w:p w14:paraId="4CE6A044" w14:textId="3105B1E2" w:rsidR="00057877" w:rsidRPr="0002602C" w:rsidRDefault="00057877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Basis of Jurisdiction</w:t>
      </w:r>
      <w:r w:rsidRPr="0002602C">
        <w:rPr>
          <w:rFonts w:ascii="Times New Roman" w:hAnsi="Times New Roman" w:cs="Times New Roman"/>
          <w:sz w:val="24"/>
          <w:szCs w:val="24"/>
        </w:rPr>
        <w:t xml:space="preserve">. A statement setting forth the basis of jurisdiction and whether the matter is </w:t>
      </w:r>
      <w:r w:rsidR="0008628C">
        <w:rPr>
          <w:rFonts w:ascii="Times New Roman" w:hAnsi="Times New Roman" w:cs="Times New Roman"/>
          <w:sz w:val="24"/>
          <w:szCs w:val="24"/>
        </w:rPr>
        <w:t xml:space="preserve">a </w:t>
      </w:r>
      <w:r w:rsidRPr="0002602C">
        <w:rPr>
          <w:rFonts w:ascii="Times New Roman" w:hAnsi="Times New Roman" w:cs="Times New Roman"/>
          <w:sz w:val="24"/>
          <w:szCs w:val="24"/>
        </w:rPr>
        <w:t>core or non</w:t>
      </w:r>
      <w:r w:rsidR="0008628C">
        <w:rPr>
          <w:rFonts w:ascii="Times New Roman" w:hAnsi="Times New Roman" w:cs="Times New Roman"/>
          <w:sz w:val="24"/>
          <w:szCs w:val="24"/>
        </w:rPr>
        <w:t>-</w:t>
      </w:r>
      <w:r w:rsidRPr="0002602C">
        <w:rPr>
          <w:rFonts w:ascii="Times New Roman" w:hAnsi="Times New Roman" w:cs="Times New Roman"/>
          <w:sz w:val="24"/>
          <w:szCs w:val="24"/>
        </w:rPr>
        <w:t>core</w:t>
      </w:r>
      <w:r w:rsidR="0008628C">
        <w:rPr>
          <w:rFonts w:ascii="Times New Roman" w:hAnsi="Times New Roman" w:cs="Times New Roman"/>
          <w:sz w:val="24"/>
          <w:szCs w:val="24"/>
        </w:rPr>
        <w:t xml:space="preserve"> proceeding</w:t>
      </w:r>
      <w:r w:rsidRPr="0002602C">
        <w:rPr>
          <w:rFonts w:ascii="Times New Roman" w:hAnsi="Times New Roman" w:cs="Times New Roman"/>
          <w:sz w:val="24"/>
          <w:szCs w:val="24"/>
        </w:rPr>
        <w:t xml:space="preserve">. If the matter is </w:t>
      </w:r>
      <w:r w:rsidR="0008628C">
        <w:rPr>
          <w:rFonts w:ascii="Times New Roman" w:hAnsi="Times New Roman" w:cs="Times New Roman"/>
          <w:sz w:val="24"/>
          <w:szCs w:val="24"/>
        </w:rPr>
        <w:t xml:space="preserve">a </w:t>
      </w:r>
      <w:r w:rsidRPr="0002602C">
        <w:rPr>
          <w:rFonts w:ascii="Times New Roman" w:hAnsi="Times New Roman" w:cs="Times New Roman"/>
          <w:sz w:val="24"/>
          <w:szCs w:val="24"/>
        </w:rPr>
        <w:t>non</w:t>
      </w:r>
      <w:r w:rsidR="0008628C">
        <w:rPr>
          <w:rFonts w:ascii="Times New Roman" w:hAnsi="Times New Roman" w:cs="Times New Roman"/>
          <w:sz w:val="24"/>
          <w:szCs w:val="24"/>
        </w:rPr>
        <w:t>-</w:t>
      </w:r>
      <w:r w:rsidRPr="0002602C">
        <w:rPr>
          <w:rFonts w:ascii="Times New Roman" w:hAnsi="Times New Roman" w:cs="Times New Roman"/>
          <w:sz w:val="24"/>
          <w:szCs w:val="24"/>
        </w:rPr>
        <w:t>core</w:t>
      </w:r>
      <w:r w:rsidR="0008628C">
        <w:rPr>
          <w:rFonts w:ascii="Times New Roman" w:hAnsi="Times New Roman" w:cs="Times New Roman"/>
          <w:sz w:val="24"/>
          <w:szCs w:val="24"/>
        </w:rPr>
        <w:t xml:space="preserve"> proceeding</w:t>
      </w:r>
      <w:r w:rsidRPr="0002602C">
        <w:rPr>
          <w:rFonts w:ascii="Times New Roman" w:hAnsi="Times New Roman" w:cs="Times New Roman"/>
          <w:sz w:val="24"/>
          <w:szCs w:val="24"/>
        </w:rPr>
        <w:t>, the parties shall state whether they consent to the Court’s entry of a final order pursuant to 28 U.S.C. § 157(c)(2). If the parties disagree, they shall each cite the relevant authority to support their positions.</w:t>
      </w:r>
    </w:p>
    <w:p w14:paraId="4A93DC12" w14:textId="085BAD3C" w:rsidR="00057877" w:rsidRPr="0002602C" w:rsidRDefault="00484102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Statement of uncontested facts</w:t>
      </w:r>
      <w:r w:rsidRPr="0002602C">
        <w:rPr>
          <w:rFonts w:ascii="Times New Roman" w:hAnsi="Times New Roman" w:cs="Times New Roman"/>
          <w:sz w:val="24"/>
          <w:szCs w:val="24"/>
        </w:rPr>
        <w:t>. A statement of the uncontested facts.</w:t>
      </w:r>
    </w:p>
    <w:p w14:paraId="40118C25" w14:textId="595602D7" w:rsidR="00484102" w:rsidRPr="0002602C" w:rsidRDefault="00484102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Statement of facts which are in dispute</w:t>
      </w:r>
      <w:r w:rsidRPr="0002602C">
        <w:rPr>
          <w:rFonts w:ascii="Times New Roman" w:hAnsi="Times New Roman" w:cs="Times New Roman"/>
          <w:sz w:val="24"/>
          <w:szCs w:val="24"/>
        </w:rPr>
        <w:t xml:space="preserve">. A statement of the facts in dispute. </w:t>
      </w:r>
    </w:p>
    <w:p w14:paraId="53B7E904" w14:textId="24B30CB5" w:rsidR="00484102" w:rsidRPr="0002602C" w:rsidRDefault="0008628C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A0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484102" w:rsidRPr="00CB5A0D">
        <w:rPr>
          <w:rFonts w:ascii="Times New Roman" w:hAnsi="Times New Roman" w:cs="Times New Roman"/>
          <w:sz w:val="24"/>
          <w:szCs w:val="24"/>
          <w:u w:val="single"/>
        </w:rPr>
        <w:t>tatement of damages claimed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84102" w:rsidRPr="00CB5A0D">
        <w:rPr>
          <w:rFonts w:ascii="Times New Roman" w:hAnsi="Times New Roman" w:cs="Times New Roman"/>
          <w:sz w:val="24"/>
          <w:szCs w:val="24"/>
          <w:u w:val="single"/>
        </w:rPr>
        <w:t xml:space="preserve"> or relief sought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. A party seeking damages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4102" w:rsidRPr="0002602C">
        <w:rPr>
          <w:rFonts w:ascii="Times New Roman" w:hAnsi="Times New Roman" w:cs="Times New Roman"/>
          <w:sz w:val="24"/>
          <w:szCs w:val="24"/>
        </w:rPr>
        <w:t>hall provide, for each cause of action being pursued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3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4102" w:rsidRPr="0002602C">
        <w:rPr>
          <w:rFonts w:ascii="Times New Roman" w:hAnsi="Times New Roman" w:cs="Times New Roman"/>
          <w:sz w:val="24"/>
          <w:szCs w:val="24"/>
        </w:rPr>
        <w:t xml:space="preserve">) a </w:t>
      </w:r>
      <w:r w:rsidR="00484102" w:rsidRPr="0002602C">
        <w:rPr>
          <w:rFonts w:ascii="Times New Roman" w:hAnsi="Times New Roman" w:cs="Times New Roman"/>
          <w:sz w:val="24"/>
          <w:szCs w:val="24"/>
        </w:rPr>
        <w:lastRenderedPageBreak/>
        <w:t>detailed description of each item of damages claimed; (</w:t>
      </w:r>
      <w:r w:rsidR="00483A86">
        <w:rPr>
          <w:rFonts w:ascii="Times New Roman" w:hAnsi="Times New Roman" w:cs="Times New Roman"/>
          <w:sz w:val="24"/>
          <w:szCs w:val="24"/>
        </w:rPr>
        <w:t>ii</w:t>
      </w:r>
      <w:r w:rsidR="00484102" w:rsidRPr="0002602C">
        <w:rPr>
          <w:rFonts w:ascii="Times New Roman" w:hAnsi="Times New Roman" w:cs="Times New Roman"/>
          <w:sz w:val="24"/>
          <w:szCs w:val="24"/>
        </w:rPr>
        <w:t>) the legal authority for such damages; and (</w:t>
      </w:r>
      <w:r w:rsidR="00483A86">
        <w:rPr>
          <w:rFonts w:ascii="Times New Roman" w:hAnsi="Times New Roman" w:cs="Times New Roman"/>
          <w:sz w:val="24"/>
          <w:szCs w:val="24"/>
        </w:rPr>
        <w:t>iii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) the specific </w:t>
      </w:r>
      <w:proofErr w:type="gramStart"/>
      <w:r w:rsidR="00484102" w:rsidRPr="0002602C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="00484102" w:rsidRPr="0002602C">
        <w:rPr>
          <w:rFonts w:ascii="Times New Roman" w:hAnsi="Times New Roman" w:cs="Times New Roman"/>
          <w:sz w:val="24"/>
          <w:szCs w:val="24"/>
        </w:rPr>
        <w:t xml:space="preserve"> of damages claimed. A party seeking relief other than damages shall</w:t>
      </w:r>
      <w:r w:rsidR="00361B4B">
        <w:rPr>
          <w:rFonts w:ascii="Times New Roman" w:hAnsi="Times New Roman" w:cs="Times New Roman"/>
          <w:sz w:val="24"/>
          <w:szCs w:val="24"/>
        </w:rPr>
        <w:t xml:space="preserve"> provide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, for each cause of action being pursued,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021D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61B4B">
        <w:rPr>
          <w:rFonts w:ascii="Times New Roman" w:hAnsi="Times New Roman" w:cs="Times New Roman"/>
          <w:sz w:val="24"/>
          <w:szCs w:val="24"/>
        </w:rPr>
        <w:t xml:space="preserve">a 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list </w:t>
      </w:r>
      <w:r w:rsidR="00361B4B">
        <w:rPr>
          <w:rFonts w:ascii="Times New Roman" w:hAnsi="Times New Roman" w:cs="Times New Roman"/>
          <w:sz w:val="24"/>
          <w:szCs w:val="24"/>
        </w:rPr>
        <w:t xml:space="preserve">of </w:t>
      </w:r>
      <w:r w:rsidR="00484102" w:rsidRPr="0002602C">
        <w:rPr>
          <w:rFonts w:ascii="Times New Roman" w:hAnsi="Times New Roman" w:cs="Times New Roman"/>
          <w:sz w:val="24"/>
          <w:szCs w:val="24"/>
        </w:rPr>
        <w:t>the exact form o</w:t>
      </w:r>
      <w:r>
        <w:rPr>
          <w:rFonts w:ascii="Times New Roman" w:hAnsi="Times New Roman" w:cs="Times New Roman"/>
          <w:sz w:val="24"/>
          <w:szCs w:val="24"/>
        </w:rPr>
        <w:t>f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 relief sought with precise designation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persons, parties, </w:t>
      </w:r>
      <w:proofErr w:type="gramStart"/>
      <w:r w:rsidR="00484102" w:rsidRPr="0002602C">
        <w:rPr>
          <w:rFonts w:ascii="Times New Roman" w:hAnsi="Times New Roman" w:cs="Times New Roman"/>
          <w:sz w:val="24"/>
          <w:szCs w:val="24"/>
        </w:rPr>
        <w:t>places</w:t>
      </w:r>
      <w:proofErr w:type="gramEnd"/>
      <w:r w:rsidR="00484102" w:rsidRPr="0002602C">
        <w:rPr>
          <w:rFonts w:ascii="Times New Roman" w:hAnsi="Times New Roman" w:cs="Times New Roman"/>
          <w:sz w:val="24"/>
          <w:szCs w:val="24"/>
        </w:rPr>
        <w:t xml:space="preserve"> and things expected to be included in any order for relief</w:t>
      </w:r>
      <w:r>
        <w:rPr>
          <w:rFonts w:ascii="Times New Roman" w:hAnsi="Times New Roman" w:cs="Times New Roman"/>
          <w:sz w:val="24"/>
          <w:szCs w:val="24"/>
        </w:rPr>
        <w:t>;</w:t>
      </w:r>
      <w:r w:rsidR="00484102" w:rsidRPr="0002602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021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4102" w:rsidRPr="0002602C">
        <w:rPr>
          <w:rFonts w:ascii="Times New Roman" w:hAnsi="Times New Roman" w:cs="Times New Roman"/>
          <w:sz w:val="24"/>
          <w:szCs w:val="24"/>
        </w:rPr>
        <w:t>the legal authority for such relief.</w:t>
      </w:r>
    </w:p>
    <w:p w14:paraId="1F87E1A7" w14:textId="0CAD9E7D" w:rsidR="003D39FD" w:rsidRPr="0002602C" w:rsidRDefault="00484102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Legal Issues</w:t>
      </w:r>
      <w:r w:rsidRPr="0002602C">
        <w:rPr>
          <w:rFonts w:ascii="Times New Roman" w:hAnsi="Times New Roman" w:cs="Times New Roman"/>
          <w:sz w:val="24"/>
          <w:szCs w:val="24"/>
        </w:rPr>
        <w:t>. For the causes of action being pursued, identify</w:t>
      </w:r>
      <w:r w:rsidR="00D07721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="00D077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07721">
        <w:rPr>
          <w:rFonts w:ascii="Times New Roman" w:hAnsi="Times New Roman" w:cs="Times New Roman"/>
          <w:sz w:val="24"/>
          <w:szCs w:val="24"/>
        </w:rPr>
        <w:t xml:space="preserve">) </w:t>
      </w:r>
      <w:r w:rsidR="00361B4B">
        <w:rPr>
          <w:rFonts w:ascii="Times New Roman" w:hAnsi="Times New Roman" w:cs="Times New Roman"/>
          <w:sz w:val="24"/>
          <w:szCs w:val="24"/>
        </w:rPr>
        <w:t xml:space="preserve">the </w:t>
      </w:r>
      <w:r w:rsidRPr="0002602C">
        <w:rPr>
          <w:rFonts w:ascii="Times New Roman" w:hAnsi="Times New Roman" w:cs="Times New Roman"/>
          <w:sz w:val="24"/>
          <w:szCs w:val="24"/>
        </w:rPr>
        <w:t>constitutional, statutory, regulatory</w:t>
      </w:r>
      <w:r w:rsidR="006C4516">
        <w:rPr>
          <w:rFonts w:ascii="Times New Roman" w:hAnsi="Times New Roman" w:cs="Times New Roman"/>
          <w:sz w:val="24"/>
          <w:szCs w:val="24"/>
        </w:rPr>
        <w:t>,</w:t>
      </w:r>
      <w:r w:rsidRPr="0002602C">
        <w:rPr>
          <w:rFonts w:ascii="Times New Roman" w:hAnsi="Times New Roman" w:cs="Times New Roman"/>
          <w:sz w:val="24"/>
          <w:szCs w:val="24"/>
        </w:rPr>
        <w:t xml:space="preserve"> and decisional authorities being relied upon for each cause of action</w:t>
      </w:r>
      <w:r w:rsidR="00D07721">
        <w:rPr>
          <w:rFonts w:ascii="Times New Roman" w:hAnsi="Times New Roman" w:cs="Times New Roman"/>
          <w:sz w:val="24"/>
          <w:szCs w:val="24"/>
        </w:rPr>
        <w:t>; and (ii) which party bears the burden of proof on each element</w:t>
      </w:r>
      <w:r w:rsidR="003D39FD" w:rsidRPr="0002602C">
        <w:rPr>
          <w:rFonts w:ascii="Times New Roman" w:hAnsi="Times New Roman" w:cs="Times New Roman"/>
          <w:sz w:val="24"/>
          <w:szCs w:val="24"/>
        </w:rPr>
        <w:t>. Also list any additional legal issues (</w:t>
      </w:r>
      <w:r w:rsidR="003D39FD" w:rsidRPr="00415DDE">
        <w:rPr>
          <w:rFonts w:ascii="Times New Roman" w:hAnsi="Times New Roman" w:cs="Times New Roman"/>
          <w:sz w:val="24"/>
          <w:szCs w:val="24"/>
          <w:u w:val="single"/>
        </w:rPr>
        <w:t>e.g.</w:t>
      </w:r>
      <w:r w:rsidR="003D39FD" w:rsidRPr="000504FB">
        <w:rPr>
          <w:rFonts w:ascii="Times New Roman" w:hAnsi="Times New Roman" w:cs="Times New Roman"/>
          <w:sz w:val="24"/>
          <w:szCs w:val="24"/>
        </w:rPr>
        <w:t>,</w:t>
      </w:r>
      <w:r w:rsidR="003D39FD" w:rsidRPr="0002602C">
        <w:rPr>
          <w:rFonts w:ascii="Times New Roman" w:hAnsi="Times New Roman" w:cs="Times New Roman"/>
          <w:sz w:val="24"/>
          <w:szCs w:val="24"/>
        </w:rPr>
        <w:t xml:space="preserve"> affirmative defenses) that will be relevant to the </w:t>
      </w:r>
      <w:r w:rsidR="006C4516">
        <w:rPr>
          <w:rFonts w:ascii="Times New Roman" w:hAnsi="Times New Roman" w:cs="Times New Roman"/>
          <w:sz w:val="24"/>
          <w:szCs w:val="24"/>
        </w:rPr>
        <w:t>C</w:t>
      </w:r>
      <w:r w:rsidR="003D39FD" w:rsidRPr="0002602C">
        <w:rPr>
          <w:rFonts w:ascii="Times New Roman" w:hAnsi="Times New Roman" w:cs="Times New Roman"/>
          <w:sz w:val="24"/>
          <w:szCs w:val="24"/>
        </w:rPr>
        <w:t>ourt’s disposition of the matter, the authority pertinent to each legal issue</w:t>
      </w:r>
      <w:r w:rsidR="00D07721">
        <w:rPr>
          <w:rFonts w:ascii="Times New Roman" w:hAnsi="Times New Roman" w:cs="Times New Roman"/>
          <w:sz w:val="24"/>
          <w:szCs w:val="24"/>
        </w:rPr>
        <w:t xml:space="preserve">, and the party </w:t>
      </w:r>
      <w:r w:rsidR="005B7CBF">
        <w:rPr>
          <w:rFonts w:ascii="Times New Roman" w:hAnsi="Times New Roman" w:cs="Times New Roman"/>
          <w:sz w:val="24"/>
          <w:szCs w:val="24"/>
        </w:rPr>
        <w:t xml:space="preserve">that </w:t>
      </w:r>
      <w:r w:rsidR="00D07721">
        <w:rPr>
          <w:rFonts w:ascii="Times New Roman" w:hAnsi="Times New Roman" w:cs="Times New Roman"/>
          <w:sz w:val="24"/>
          <w:szCs w:val="24"/>
        </w:rPr>
        <w:t>bears the burden on the issue.</w:t>
      </w:r>
    </w:p>
    <w:p w14:paraId="54938581" w14:textId="44C14898" w:rsidR="00484102" w:rsidRPr="0002602C" w:rsidRDefault="003D39FD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Witnesses</w:t>
      </w:r>
      <w:r w:rsidRPr="0002602C">
        <w:rPr>
          <w:rFonts w:ascii="Times New Roman" w:hAnsi="Times New Roman" w:cs="Times New Roman"/>
          <w:sz w:val="24"/>
          <w:szCs w:val="24"/>
        </w:rPr>
        <w:t xml:space="preserve">. A list of witnesses in the order in which they will be called, </w:t>
      </w:r>
      <w:r w:rsidR="00FC6BA1" w:rsidRPr="0002602C">
        <w:rPr>
          <w:rFonts w:ascii="Times New Roman" w:hAnsi="Times New Roman" w:cs="Times New Roman"/>
          <w:bCs/>
          <w:sz w:val="24"/>
          <w:szCs w:val="24"/>
        </w:rPr>
        <w:t>together with a statement of the issues about which the witness is expected to testify</w:t>
      </w:r>
      <w:r w:rsidR="00610797" w:rsidRPr="0002602C">
        <w:rPr>
          <w:rFonts w:ascii="Times New Roman" w:hAnsi="Times New Roman" w:cs="Times New Roman"/>
          <w:sz w:val="24"/>
          <w:szCs w:val="24"/>
        </w:rPr>
        <w:t xml:space="preserve">. </w:t>
      </w:r>
      <w:r w:rsidR="00FC6BA1" w:rsidRPr="0002602C">
        <w:rPr>
          <w:rFonts w:ascii="Times New Roman" w:hAnsi="Times New Roman" w:cs="Times New Roman"/>
          <w:bCs/>
          <w:sz w:val="24"/>
          <w:szCs w:val="24"/>
        </w:rPr>
        <w:t>Witnesses who are not properly listed will not ordinarily be permitted to testify at trial, except for those called solely for impeachment or rebuttal.</w:t>
      </w:r>
    </w:p>
    <w:p w14:paraId="313111F9" w14:textId="7BA5E810" w:rsidR="00A84EC7" w:rsidRPr="0002602C" w:rsidRDefault="00610797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>A list of all exhibits</w:t>
      </w:r>
      <w:r w:rsidRPr="0002602C">
        <w:rPr>
          <w:rFonts w:ascii="Times New Roman" w:hAnsi="Times New Roman" w:cs="Times New Roman"/>
          <w:sz w:val="24"/>
          <w:szCs w:val="24"/>
        </w:rPr>
        <w:t>. A list of all exhibits</w:t>
      </w:r>
      <w:r w:rsidR="00A84EC7" w:rsidRPr="0002602C">
        <w:rPr>
          <w:rFonts w:ascii="Times New Roman" w:hAnsi="Times New Roman" w:cs="Times New Roman"/>
          <w:sz w:val="24"/>
          <w:szCs w:val="24"/>
        </w:rPr>
        <w:t>, including joint exhibits,</w:t>
      </w:r>
      <w:r w:rsidRPr="0002602C">
        <w:rPr>
          <w:rFonts w:ascii="Times New Roman" w:hAnsi="Times New Roman" w:cs="Times New Roman"/>
          <w:sz w:val="24"/>
          <w:szCs w:val="24"/>
        </w:rPr>
        <w:t xml:space="preserve"> to be offered into evidence shall be serially numbered and physically ma</w:t>
      </w:r>
      <w:r w:rsidR="00FC6BA1" w:rsidRPr="0002602C">
        <w:rPr>
          <w:rFonts w:ascii="Times New Roman" w:hAnsi="Times New Roman" w:cs="Times New Roman"/>
          <w:sz w:val="24"/>
          <w:szCs w:val="24"/>
        </w:rPr>
        <w:t>rked before trial</w:t>
      </w:r>
      <w:r w:rsidR="000D1A19" w:rsidRPr="0002602C">
        <w:rPr>
          <w:rFonts w:ascii="Times New Roman" w:hAnsi="Times New Roman" w:cs="Times New Roman"/>
          <w:sz w:val="24"/>
          <w:szCs w:val="24"/>
        </w:rPr>
        <w:t xml:space="preserve">. </w:t>
      </w:r>
      <w:r w:rsidR="000D1A19" w:rsidRPr="0002602C">
        <w:rPr>
          <w:rFonts w:ascii="Times New Roman" w:hAnsi="Times New Roman" w:cs="Times New Roman"/>
          <w:bCs/>
          <w:sz w:val="24"/>
          <w:szCs w:val="24"/>
        </w:rPr>
        <w:t xml:space="preserve">Plaintiff’s exhibits shall be marked with numbers and </w:t>
      </w:r>
      <w:r w:rsidR="006C4516">
        <w:rPr>
          <w:rFonts w:ascii="Times New Roman" w:hAnsi="Times New Roman" w:cs="Times New Roman"/>
          <w:bCs/>
          <w:sz w:val="24"/>
          <w:szCs w:val="24"/>
        </w:rPr>
        <w:t>D</w:t>
      </w:r>
      <w:r w:rsidR="000D1A19" w:rsidRPr="0002602C">
        <w:rPr>
          <w:rFonts w:ascii="Times New Roman" w:hAnsi="Times New Roman" w:cs="Times New Roman"/>
          <w:bCs/>
          <w:sz w:val="24"/>
          <w:szCs w:val="24"/>
        </w:rPr>
        <w:t>efendant’s exhibits shall be marked with letters.</w:t>
      </w:r>
      <w:r w:rsidR="00B84632">
        <w:rPr>
          <w:rFonts w:ascii="Times New Roman" w:hAnsi="Times New Roman" w:cs="Times New Roman"/>
          <w:bCs/>
          <w:sz w:val="24"/>
          <w:szCs w:val="24"/>
        </w:rPr>
        <w:t xml:space="preserve"> Where there are multiple plaintiffs or defendants, the exhibits shall be marked as ordered above, but with the surname of the </w:t>
      </w:r>
      <w:proofErr w:type="gramStart"/>
      <w:r w:rsidR="00B84632">
        <w:rPr>
          <w:rFonts w:ascii="Times New Roman" w:hAnsi="Times New Roman" w:cs="Times New Roman"/>
          <w:bCs/>
          <w:sz w:val="24"/>
          <w:szCs w:val="24"/>
        </w:rPr>
        <w:t>particular plaintiff</w:t>
      </w:r>
      <w:proofErr w:type="gramEnd"/>
      <w:r w:rsidR="00B84632">
        <w:rPr>
          <w:rFonts w:ascii="Times New Roman" w:hAnsi="Times New Roman" w:cs="Times New Roman"/>
          <w:bCs/>
          <w:sz w:val="24"/>
          <w:szCs w:val="24"/>
        </w:rPr>
        <w:t xml:space="preserve"> or defendant added (for example, “Pl. Smith 1” or “Def. Jones A”). </w:t>
      </w:r>
      <w:r w:rsidR="00A84EC7" w:rsidRPr="0002602C">
        <w:rPr>
          <w:rFonts w:ascii="Times New Roman" w:hAnsi="Times New Roman" w:cs="Times New Roman"/>
          <w:sz w:val="24"/>
          <w:szCs w:val="24"/>
        </w:rPr>
        <w:t>E</w:t>
      </w:r>
      <w:r w:rsidR="00A84EC7" w:rsidRPr="0002602C">
        <w:rPr>
          <w:rFonts w:ascii="Times New Roman" w:hAnsi="Times New Roman" w:cs="Times New Roman"/>
          <w:bCs/>
          <w:sz w:val="24"/>
          <w:szCs w:val="24"/>
        </w:rPr>
        <w:t>xhibits not disclosed will not ordinarily be admitted into evidence at trial, except those that are offered solely for the purpose of impeachment or rebuttal.</w:t>
      </w:r>
    </w:p>
    <w:p w14:paraId="4063EB30" w14:textId="309AF2F2" w:rsidR="00A84EC7" w:rsidRPr="00057877" w:rsidRDefault="00A84EC7" w:rsidP="00B75665">
      <w:pPr>
        <w:pStyle w:val="ListParagraph"/>
        <w:numPr>
          <w:ilvl w:val="1"/>
          <w:numId w:val="1"/>
        </w:numPr>
        <w:spacing w:after="240" w:line="240" w:lineRule="auto"/>
        <w:ind w:left="288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Certification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5B7CBF">
        <w:rPr>
          <w:rFonts w:ascii="Times New Roman" w:hAnsi="Times New Roman" w:cs="Times New Roman"/>
          <w:sz w:val="24"/>
          <w:szCs w:val="24"/>
        </w:rPr>
        <w:t xml:space="preserve">certified statement indicating </w:t>
      </w:r>
      <w:r>
        <w:rPr>
          <w:rFonts w:ascii="Times New Roman" w:hAnsi="Times New Roman" w:cs="Times New Roman"/>
          <w:sz w:val="24"/>
          <w:szCs w:val="24"/>
        </w:rPr>
        <w:t>that the parties have attempted good faith settlement discussions without success.</w:t>
      </w:r>
    </w:p>
    <w:p w14:paraId="48B318BD" w14:textId="18362328" w:rsidR="00740879" w:rsidRPr="007B0E0C" w:rsidRDefault="0008628C" w:rsidP="00740879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2602C">
        <w:rPr>
          <w:rFonts w:ascii="Times New Roman" w:hAnsi="Times New Roman" w:cs="Times New Roman"/>
          <w:sz w:val="24"/>
          <w:szCs w:val="24"/>
          <w:u w:val="single"/>
        </w:rPr>
        <w:t xml:space="preserve">Motions </w:t>
      </w:r>
      <w:r w:rsidRPr="0002602C">
        <w:rPr>
          <w:rFonts w:ascii="Times New Roman" w:hAnsi="Times New Roman" w:cs="Times New Roman"/>
          <w:i/>
          <w:iCs/>
          <w:sz w:val="24"/>
          <w:szCs w:val="24"/>
          <w:u w:val="single"/>
        </w:rPr>
        <w:t>in Limine</w:t>
      </w:r>
      <w:r w:rsidRPr="0002602C">
        <w:rPr>
          <w:rFonts w:ascii="Times New Roman" w:hAnsi="Times New Roman" w:cs="Times New Roman"/>
          <w:sz w:val="24"/>
          <w:szCs w:val="24"/>
        </w:rPr>
        <w:t xml:space="preserve">.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No separate briefing shall be submitted on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requests, unless otherwise permitted by the Court. All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requests and responses thereto shall be set forth in the proposed joint pretrial order. Each party shall be limited to three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requests, unless otherwise permitted by the Court. The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 and any response shall contain the authorities relied upon; each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 may be supported by a maximum of three (3) pages of argument and may be opposed by a maximum of three (3) pages of argument,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lastRenderedPageBreak/>
        <w:t xml:space="preserve">and the party making the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 may add a maximum of one (1) additional page in reply in support of its request. If more than one party is supporting or opposing an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request, such support or opposition shall be combined in a single three (3) page submission (and, if the moving party, </w:t>
      </w:r>
      <w:proofErr w:type="gramStart"/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>a single one</w:t>
      </w:r>
      <w:proofErr w:type="gramEnd"/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 (1) page reply), unless otherwise ordered by the Court. No separate briefing shall be submitted on </w:t>
      </w:r>
      <w:r w:rsidR="00740879" w:rsidRPr="007B0E0C">
        <w:rPr>
          <w:rFonts w:ascii="Times New Roman" w:hAnsi="Times New Roman" w:cs="Times New Roman"/>
          <w:i/>
          <w:iCs/>
          <w:color w:val="221F1F"/>
          <w:sz w:val="24"/>
          <w:szCs w:val="24"/>
        </w:rPr>
        <w:t xml:space="preserve">in limine </w:t>
      </w:r>
      <w:r w:rsidR="00740879" w:rsidRPr="007B0E0C">
        <w:rPr>
          <w:rFonts w:ascii="Times New Roman" w:hAnsi="Times New Roman" w:cs="Times New Roman"/>
          <w:color w:val="221F1F"/>
          <w:sz w:val="24"/>
          <w:szCs w:val="24"/>
        </w:rPr>
        <w:t xml:space="preserve">requests, unless otherwise permitted by the Court. </w:t>
      </w:r>
    </w:p>
    <w:p w14:paraId="76485F4A" w14:textId="1108CBB6" w:rsidR="00E76740" w:rsidRPr="00E76740" w:rsidRDefault="00E76740" w:rsidP="004A1CEC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76740">
        <w:rPr>
          <w:rFonts w:ascii="Times New Roman" w:hAnsi="Times New Roman" w:cs="Times New Roman"/>
          <w:sz w:val="24"/>
          <w:szCs w:val="24"/>
          <w:u w:val="single"/>
        </w:rPr>
        <w:t>Final Pretrial Hearing Date</w:t>
      </w:r>
      <w:r w:rsidRPr="00E76740">
        <w:rPr>
          <w:rFonts w:ascii="Times New Roman" w:hAnsi="Times New Roman" w:cs="Times New Roman"/>
          <w:sz w:val="24"/>
          <w:szCs w:val="24"/>
        </w:rPr>
        <w:t xml:space="preserve">. A final pretrial hearing will be held on 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&lt;Date at Time &lt;A.M. or P.M.</w:t>
      </w:r>
      <w:r w:rsidR="008136CD">
        <w:rPr>
          <w:rFonts w:ascii="Times New Roman" w:hAnsi="Times New Roman" w:cs="Times New Roman"/>
          <w:b/>
          <w:bCs/>
          <w:sz w:val="24"/>
          <w:szCs w:val="24"/>
        </w:rPr>
        <w:t xml:space="preserve"> – TO BE DETERMINED AT INITIAL PRE-TRIAL HEARING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CEC">
        <w:rPr>
          <w:rFonts w:ascii="Times New Roman" w:hAnsi="Times New Roman" w:cs="Times New Roman"/>
          <w:sz w:val="24"/>
          <w:szCs w:val="24"/>
        </w:rPr>
        <w:t>(the “</w:t>
      </w:r>
      <w:r w:rsidR="004A1CEC" w:rsidRPr="007B0E0C">
        <w:rPr>
          <w:rFonts w:ascii="Times New Roman" w:hAnsi="Times New Roman" w:cs="Times New Roman"/>
          <w:sz w:val="24"/>
          <w:szCs w:val="24"/>
          <w:u w:val="single"/>
        </w:rPr>
        <w:t>Final Pretrial Hearing</w:t>
      </w:r>
      <w:r w:rsidR="004A1CEC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6740">
        <w:rPr>
          <w:rFonts w:ascii="Times New Roman" w:hAnsi="Times New Roman" w:cs="Times New Roman"/>
          <w:sz w:val="24"/>
          <w:szCs w:val="24"/>
        </w:rPr>
        <w:t xml:space="preserve">The </w:t>
      </w:r>
      <w:r w:rsidR="004A1CEC">
        <w:rPr>
          <w:rFonts w:ascii="Times New Roman" w:hAnsi="Times New Roman" w:cs="Times New Roman"/>
          <w:sz w:val="24"/>
          <w:szCs w:val="24"/>
        </w:rPr>
        <w:t>F</w:t>
      </w:r>
      <w:r w:rsidRPr="00E76740">
        <w:rPr>
          <w:rFonts w:ascii="Times New Roman" w:hAnsi="Times New Roman" w:cs="Times New Roman"/>
          <w:sz w:val="24"/>
          <w:szCs w:val="24"/>
        </w:rPr>
        <w:t xml:space="preserve">inal </w:t>
      </w:r>
      <w:r w:rsidR="004A1CEC">
        <w:rPr>
          <w:rFonts w:ascii="Times New Roman" w:hAnsi="Times New Roman" w:cs="Times New Roman"/>
          <w:sz w:val="24"/>
          <w:szCs w:val="24"/>
        </w:rPr>
        <w:t>P</w:t>
      </w:r>
      <w:r w:rsidRPr="00E76740">
        <w:rPr>
          <w:rFonts w:ascii="Times New Roman" w:hAnsi="Times New Roman" w:cs="Times New Roman"/>
          <w:sz w:val="24"/>
          <w:szCs w:val="24"/>
        </w:rPr>
        <w:t xml:space="preserve">retrial </w:t>
      </w:r>
      <w:r w:rsidR="004A1CEC">
        <w:rPr>
          <w:rFonts w:ascii="Times New Roman" w:hAnsi="Times New Roman" w:cs="Times New Roman"/>
          <w:sz w:val="24"/>
          <w:szCs w:val="24"/>
        </w:rPr>
        <w:t>H</w:t>
      </w:r>
      <w:r w:rsidRPr="00E76740">
        <w:rPr>
          <w:rFonts w:ascii="Times New Roman" w:hAnsi="Times New Roman" w:cs="Times New Roman"/>
          <w:sz w:val="24"/>
          <w:szCs w:val="24"/>
        </w:rPr>
        <w:t>earing will take place virtually via video conference using the Zoom® Video Communications application</w:t>
      </w:r>
      <w:r w:rsidR="004A1CEC">
        <w:rPr>
          <w:rFonts w:ascii="Times New Roman" w:hAnsi="Times New Roman" w:cs="Times New Roman"/>
          <w:sz w:val="24"/>
          <w:szCs w:val="24"/>
        </w:rPr>
        <w:t xml:space="preserve"> (“</w:t>
      </w:r>
      <w:r w:rsidR="004A1CEC" w:rsidRPr="007B0E0C">
        <w:rPr>
          <w:rFonts w:ascii="Times New Roman" w:hAnsi="Times New Roman" w:cs="Times New Roman"/>
          <w:sz w:val="24"/>
          <w:szCs w:val="24"/>
          <w:u w:val="single"/>
        </w:rPr>
        <w:t>Zoom</w:t>
      </w:r>
      <w:r w:rsidR="004A1CEC">
        <w:rPr>
          <w:rFonts w:ascii="Times New Roman" w:hAnsi="Times New Roman" w:cs="Times New Roman"/>
          <w:sz w:val="24"/>
          <w:szCs w:val="24"/>
        </w:rPr>
        <w:t>”)</w:t>
      </w:r>
      <w:r w:rsidRPr="00E76740">
        <w:rPr>
          <w:rFonts w:ascii="Times New Roman" w:hAnsi="Times New Roman" w:cs="Times New Roman"/>
          <w:sz w:val="24"/>
          <w:szCs w:val="24"/>
        </w:rPr>
        <w:t>.</w:t>
      </w:r>
      <w:r w:rsidR="004A1CEC">
        <w:rPr>
          <w:rFonts w:ascii="Times New Roman" w:hAnsi="Times New Roman" w:cs="Times New Roman"/>
          <w:sz w:val="24"/>
          <w:szCs w:val="24"/>
        </w:rPr>
        <w:t xml:space="preserve"> </w:t>
      </w:r>
      <w:r w:rsidR="004A1CEC" w:rsidRPr="004A1CEC">
        <w:rPr>
          <w:rFonts w:ascii="Times New Roman" w:hAnsi="Times New Roman" w:cs="Times New Roman"/>
          <w:sz w:val="24"/>
          <w:szCs w:val="24"/>
        </w:rPr>
        <w:t xml:space="preserve">To participate in the </w:t>
      </w:r>
      <w:r w:rsidR="004A1CEC">
        <w:rPr>
          <w:rFonts w:ascii="Times New Roman" w:hAnsi="Times New Roman" w:cs="Times New Roman"/>
          <w:sz w:val="24"/>
          <w:szCs w:val="24"/>
        </w:rPr>
        <w:t xml:space="preserve">Zoom hearing, participants must pre-register by emailing </w:t>
      </w:r>
      <w:hyperlink r:id="rId10" w:history="1">
        <w:r w:rsidR="004A1CEC" w:rsidRPr="004A1CEC">
          <w:rPr>
            <w:rStyle w:val="Hyperlink"/>
            <w:rFonts w:ascii="Times New Roman" w:hAnsi="Times New Roman" w:cs="Times New Roman"/>
            <w:sz w:val="24"/>
            <w:szCs w:val="24"/>
          </w:rPr>
          <w:t>PattonZoom_Registration@ohnb.uscourts.gov</w:t>
        </w:r>
      </w:hyperlink>
      <w:r w:rsidR="004A1CEC" w:rsidRPr="004A1CEC">
        <w:rPr>
          <w:rFonts w:ascii="Times New Roman" w:hAnsi="Times New Roman" w:cs="Times New Roman"/>
          <w:sz w:val="24"/>
          <w:szCs w:val="24"/>
        </w:rPr>
        <w:t xml:space="preserve"> by no later than 4:00 p.m. three (3) business days prior to the</w:t>
      </w:r>
      <w:r w:rsidR="004A1CEC">
        <w:rPr>
          <w:rFonts w:ascii="Times New Roman" w:hAnsi="Times New Roman" w:cs="Times New Roman"/>
          <w:sz w:val="24"/>
          <w:szCs w:val="24"/>
        </w:rPr>
        <w:t xml:space="preserve"> Final </w:t>
      </w:r>
      <w:r w:rsidR="004A1CEC" w:rsidRPr="004A1CEC">
        <w:rPr>
          <w:rFonts w:ascii="Times New Roman" w:hAnsi="Times New Roman" w:cs="Times New Roman"/>
          <w:sz w:val="24"/>
          <w:szCs w:val="24"/>
        </w:rPr>
        <w:t>Pretrial Hearing.</w:t>
      </w:r>
      <w:r w:rsidR="004A1CEC" w:rsidRPr="004A1CE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4A1CEC" w:rsidRPr="004A1CEC">
        <w:rPr>
          <w:rFonts w:ascii="Times New Roman" w:hAnsi="Times New Roman" w:cs="Times New Roman"/>
          <w:sz w:val="24"/>
          <w:szCs w:val="24"/>
        </w:rPr>
        <w:t xml:space="preserve"> All participants are required to appear by Zoom and comply with </w:t>
      </w:r>
      <w:r w:rsidR="004A1CEC" w:rsidRPr="007B0E0C">
        <w:rPr>
          <w:rFonts w:ascii="Times New Roman" w:hAnsi="Times New Roman" w:cs="Times New Roman"/>
          <w:i/>
          <w:iCs/>
          <w:sz w:val="24"/>
          <w:szCs w:val="24"/>
        </w:rPr>
        <w:t>Judge Patton’s Procedures for Appearing via Zoom® Video Communications (Effective August  21, 2023)</w:t>
      </w:r>
      <w:r w:rsidR="004A1CEC" w:rsidRPr="007B0E0C">
        <w:rPr>
          <w:rFonts w:ascii="Times New Roman" w:hAnsi="Times New Roman" w:cs="Times New Roman"/>
          <w:sz w:val="24"/>
          <w:szCs w:val="24"/>
        </w:rPr>
        <w:t>,</w:t>
      </w:r>
      <w:r w:rsidR="004A1CEC" w:rsidRPr="004A1CEC">
        <w:rPr>
          <w:rFonts w:ascii="Times New Roman" w:hAnsi="Times New Roman" w:cs="Times New Roman"/>
          <w:sz w:val="24"/>
          <w:szCs w:val="24"/>
        </w:rPr>
        <w:t xml:space="preserve"> which can be found on the Court’s website. Persons without video conferencing capabilities must immediately contact Evelyn Ross, Judge Patton’s Courtroom Deputy</w:t>
      </w:r>
      <w:r w:rsidR="007B0E0C">
        <w:rPr>
          <w:rFonts w:ascii="Times New Roman" w:hAnsi="Times New Roman" w:cs="Times New Roman"/>
          <w:sz w:val="24"/>
          <w:szCs w:val="24"/>
        </w:rPr>
        <w:t>,</w:t>
      </w:r>
      <w:r w:rsidR="004A1CEC" w:rsidRPr="004A1CEC">
        <w:rPr>
          <w:rFonts w:ascii="Times New Roman" w:hAnsi="Times New Roman" w:cs="Times New Roman"/>
          <w:sz w:val="24"/>
          <w:szCs w:val="24"/>
        </w:rPr>
        <w:t xml:space="preserve"> at (330) 742-0950 to make alternative arrangements. Absent emergency circumstances, such arrangements must be made no later than three (3) business days prior to the </w:t>
      </w:r>
      <w:r w:rsidR="004A1CEC">
        <w:rPr>
          <w:rFonts w:ascii="Times New Roman" w:hAnsi="Times New Roman" w:cs="Times New Roman"/>
          <w:sz w:val="24"/>
          <w:szCs w:val="24"/>
        </w:rPr>
        <w:t>Final Pretrial Hearing</w:t>
      </w:r>
      <w:r w:rsidR="004A1CEC" w:rsidRPr="004A1CEC">
        <w:rPr>
          <w:rFonts w:ascii="Times New Roman" w:hAnsi="Times New Roman" w:cs="Times New Roman"/>
          <w:sz w:val="24"/>
          <w:szCs w:val="24"/>
        </w:rPr>
        <w:t>.</w:t>
      </w:r>
    </w:p>
    <w:p w14:paraId="2A2BB43D" w14:textId="319C30A5" w:rsidR="001E3DA5" w:rsidRPr="004A1CEC" w:rsidRDefault="00557DDC" w:rsidP="001E3DA5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Trial Date</w:t>
      </w:r>
      <w:r w:rsidR="006F62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trial is</w:t>
      </w:r>
      <w:r w:rsidR="006F62EB">
        <w:rPr>
          <w:rFonts w:ascii="Times New Roman" w:hAnsi="Times New Roman" w:cs="Times New Roman"/>
          <w:sz w:val="24"/>
          <w:szCs w:val="24"/>
        </w:rPr>
        <w:t xml:space="preserve"> scheduled </w:t>
      </w:r>
      <w:r w:rsidR="001E3DA5">
        <w:rPr>
          <w:rFonts w:ascii="Times New Roman" w:hAnsi="Times New Roman" w:cs="Times New Roman"/>
          <w:sz w:val="24"/>
          <w:szCs w:val="24"/>
        </w:rPr>
        <w:t>on &lt;</w:t>
      </w:r>
      <w:r w:rsidR="001E3DA5" w:rsidRPr="008136CD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A84EC7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08628C" w:rsidRPr="008136CD">
        <w:rPr>
          <w:rFonts w:ascii="Times New Roman" w:hAnsi="Times New Roman" w:cs="Times New Roman"/>
          <w:b/>
          <w:bCs/>
          <w:sz w:val="24"/>
          <w:szCs w:val="24"/>
        </w:rPr>
        <w:t>Time &lt;</w:t>
      </w:r>
      <w:r w:rsidR="00CB5A0D" w:rsidRPr="008136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8628C" w:rsidRPr="00813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5A0D" w:rsidRPr="008136C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8628C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. or </w:t>
      </w:r>
      <w:r w:rsidR="00CB5A0D" w:rsidRPr="008136C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8628C" w:rsidRPr="008136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5A0D" w:rsidRPr="008136C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8628C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.&gt; </w:t>
      </w:r>
      <w:r w:rsidR="00A84EC7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136CD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– TO BE DETERMINED AT INITIAL PRE-TRIAL HEARING </w:t>
      </w:r>
      <w:r w:rsidR="00A84EC7">
        <w:rPr>
          <w:rFonts w:ascii="Times New Roman" w:hAnsi="Times New Roman" w:cs="Times New Roman"/>
          <w:sz w:val="24"/>
          <w:szCs w:val="24"/>
        </w:rPr>
        <w:t xml:space="preserve">&gt; </w:t>
      </w:r>
      <w:r w:rsidR="00E76740">
        <w:rPr>
          <w:rFonts w:ascii="Times New Roman" w:hAnsi="Times New Roman" w:cs="Times New Roman"/>
          <w:sz w:val="24"/>
          <w:szCs w:val="24"/>
        </w:rPr>
        <w:t>(“</w:t>
      </w:r>
      <w:r w:rsidR="00E76740">
        <w:rPr>
          <w:rFonts w:ascii="Times New Roman" w:hAnsi="Times New Roman" w:cs="Times New Roman"/>
          <w:sz w:val="24"/>
          <w:szCs w:val="24"/>
          <w:u w:val="single"/>
        </w:rPr>
        <w:t>Trial Date</w:t>
      </w:r>
      <w:r w:rsidR="00E76740">
        <w:rPr>
          <w:rFonts w:ascii="Times New Roman" w:hAnsi="Times New Roman" w:cs="Times New Roman"/>
          <w:sz w:val="24"/>
          <w:szCs w:val="24"/>
        </w:rPr>
        <w:t xml:space="preserve">”) </w:t>
      </w:r>
      <w:r w:rsidR="00A84EC7" w:rsidRPr="00723574">
        <w:rPr>
          <w:rFonts w:ascii="Times New Roman" w:hAnsi="Times New Roman" w:cs="Times New Roman"/>
          <w:sz w:val="24"/>
          <w:szCs w:val="24"/>
        </w:rPr>
        <w:t xml:space="preserve">at the United States Bankruptcy Court for the Northern District of Ohio, </w:t>
      </w:r>
      <w:r w:rsidR="00A84EC7" w:rsidRPr="00723574">
        <w:rPr>
          <w:rFonts w:ascii="Times New Roman" w:hAnsi="Times New Roman" w:cs="Times New Roman"/>
          <w:bCs/>
          <w:sz w:val="24"/>
          <w:szCs w:val="24"/>
        </w:rPr>
        <w:t xml:space="preserve">Nathaniel R. Jones Federal Building &amp; </w:t>
      </w:r>
      <w:r w:rsidR="00A84EC7" w:rsidRPr="00723574">
        <w:rPr>
          <w:rFonts w:ascii="Times New Roman" w:hAnsi="Times New Roman" w:cs="Times New Roman"/>
          <w:bCs/>
          <w:sz w:val="24"/>
          <w:szCs w:val="24"/>
        </w:rPr>
        <w:lastRenderedPageBreak/>
        <w:t>U.S. Courthouse, 10 East Commerce Stree</w:t>
      </w:r>
      <w:r w:rsidR="00B84632">
        <w:rPr>
          <w:rFonts w:ascii="Times New Roman" w:hAnsi="Times New Roman" w:cs="Times New Roman"/>
          <w:bCs/>
          <w:sz w:val="24"/>
          <w:szCs w:val="24"/>
        </w:rPr>
        <w:t>t, Third Floor Courtroom</w:t>
      </w:r>
      <w:r w:rsidR="00A84EC7" w:rsidRPr="00723574">
        <w:rPr>
          <w:rFonts w:ascii="Times New Roman" w:hAnsi="Times New Roman" w:cs="Times New Roman"/>
          <w:bCs/>
          <w:sz w:val="24"/>
          <w:szCs w:val="24"/>
        </w:rPr>
        <w:t>, Youngstown, Ohio 44503-1621.</w:t>
      </w:r>
      <w:r w:rsidR="00854A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861A68" w14:textId="49848A18" w:rsidR="004A1CEC" w:rsidRPr="007B0E0C" w:rsidRDefault="004A1CEC" w:rsidP="004A1CEC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Trial Briefs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02602C">
        <w:rPr>
          <w:rFonts w:ascii="Times New Roman" w:hAnsi="Times New Roman" w:cs="Times New Roman"/>
          <w:sz w:val="24"/>
          <w:szCs w:val="24"/>
        </w:rPr>
        <w:t>n or before &lt;</w:t>
      </w:r>
      <w:r w:rsidRPr="008136CD">
        <w:rPr>
          <w:rFonts w:ascii="Times New Roman" w:hAnsi="Times New Roman" w:cs="Times New Roman"/>
          <w:b/>
          <w:bCs/>
          <w:sz w:val="24"/>
          <w:szCs w:val="24"/>
        </w:rPr>
        <w:t>Date –</w:t>
      </w:r>
      <w:r w:rsidR="008136CD" w:rsidRPr="008136CD">
        <w:rPr>
          <w:rFonts w:ascii="Times New Roman" w:hAnsi="Times New Roman" w:cs="Times New Roman"/>
          <w:b/>
          <w:bCs/>
          <w:sz w:val="24"/>
          <w:szCs w:val="24"/>
        </w:rPr>
        <w:t>– TO BE DETERMINED AT INITIAL PRE-TRIAL HEARING</w:t>
      </w:r>
      <w:r w:rsidR="00813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&gt;, each party may file a trial brief. The trial brief shall include: (a) a synopsis of the facts upon which the party intends to prove its claim or defense; (b) specific citations of statutes, case law, or other legal authorities upon which the party relies; and (c) a discussion of any anticipated evidentiary issues.</w:t>
      </w:r>
      <w:r w:rsidR="00170927">
        <w:rPr>
          <w:rFonts w:ascii="Times New Roman" w:hAnsi="Times New Roman" w:cs="Times New Roman"/>
          <w:sz w:val="24"/>
          <w:szCs w:val="24"/>
        </w:rPr>
        <w:t xml:space="preserve"> All trial briefs shall conform to the requirements of Rule </w:t>
      </w:r>
      <w:r w:rsidR="00170927" w:rsidRPr="00170927">
        <w:rPr>
          <w:rFonts w:ascii="Times New Roman" w:hAnsi="Times New Roman" w:cs="Times New Roman"/>
          <w:sz w:val="24"/>
          <w:szCs w:val="24"/>
        </w:rPr>
        <w:t>9013-2</w:t>
      </w:r>
      <w:r w:rsidR="00170927">
        <w:rPr>
          <w:rFonts w:ascii="Times New Roman" w:hAnsi="Times New Roman" w:cs="Times New Roman"/>
          <w:sz w:val="24"/>
          <w:szCs w:val="24"/>
        </w:rPr>
        <w:t xml:space="preserve"> of </w:t>
      </w:r>
      <w:r w:rsidR="00170927" w:rsidRPr="00CC2C20">
        <w:rPr>
          <w:rFonts w:ascii="Times New Roman" w:hAnsi="Times New Roman" w:cs="Times New Roman"/>
          <w:sz w:val="24"/>
          <w:szCs w:val="24"/>
        </w:rPr>
        <w:t>the Local Rules for the United States Bankruptcy Court for the Northern District of Ohio</w:t>
      </w:r>
      <w:r w:rsidR="00170927">
        <w:rPr>
          <w:rFonts w:ascii="Times New Roman" w:hAnsi="Times New Roman" w:cs="Times New Roman"/>
          <w:sz w:val="24"/>
          <w:szCs w:val="24"/>
        </w:rPr>
        <w:t>.</w:t>
      </w:r>
    </w:p>
    <w:p w14:paraId="169BB006" w14:textId="3864E097" w:rsidR="0049526F" w:rsidRPr="00854AE1" w:rsidRDefault="0002602C" w:rsidP="0049526F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Service of Exhibits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7B20">
        <w:rPr>
          <w:rFonts w:ascii="Times New Roman" w:hAnsi="Times New Roman" w:cs="Times New Roman"/>
          <w:sz w:val="24"/>
          <w:szCs w:val="24"/>
        </w:rPr>
        <w:t xml:space="preserve">The parties shall consult prior to the Trial Date and shall in good faith attempt to agree upon the exhibits that will be offered into evidence without objection. </w:t>
      </w:r>
      <w:r w:rsidR="00D50BAD">
        <w:rPr>
          <w:rFonts w:ascii="Times New Roman" w:hAnsi="Times New Roman" w:cs="Times New Roman"/>
          <w:sz w:val="24"/>
          <w:szCs w:val="24"/>
        </w:rPr>
        <w:t>O</w:t>
      </w:r>
      <w:r w:rsidR="00D50BAD" w:rsidRPr="0002602C">
        <w:rPr>
          <w:rFonts w:ascii="Times New Roman" w:hAnsi="Times New Roman" w:cs="Times New Roman"/>
          <w:sz w:val="24"/>
          <w:szCs w:val="24"/>
        </w:rPr>
        <w:t xml:space="preserve">n or before </w:t>
      </w:r>
      <w:r w:rsidR="00D50BAD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&lt;Date </w:t>
      </w:r>
      <w:r w:rsidR="008136CD" w:rsidRPr="008136CD">
        <w:rPr>
          <w:rFonts w:ascii="Times New Roman" w:hAnsi="Times New Roman" w:cs="Times New Roman"/>
          <w:b/>
          <w:bCs/>
          <w:sz w:val="24"/>
          <w:szCs w:val="24"/>
        </w:rPr>
        <w:t xml:space="preserve">– TO BE DETERMINED AT INITIAL PRE-TRIAL HEARING </w:t>
      </w:r>
      <w:r w:rsidR="00D50BA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, each party </w:t>
      </w:r>
      <w:r w:rsidR="00183F6C">
        <w:rPr>
          <w:rFonts w:ascii="Times New Roman" w:hAnsi="Times New Roman" w:cs="Times New Roman"/>
          <w:sz w:val="24"/>
          <w:szCs w:val="24"/>
        </w:rPr>
        <w:t xml:space="preserve">shall file with the Court a copy of their exhibit list and </w:t>
      </w:r>
      <w:r>
        <w:rPr>
          <w:rFonts w:ascii="Times New Roman" w:hAnsi="Times New Roman" w:cs="Times New Roman"/>
          <w:sz w:val="24"/>
          <w:szCs w:val="24"/>
        </w:rPr>
        <w:t>provide: (</w:t>
      </w:r>
      <w:r w:rsidR="00483A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a copy of exhibits to the opposing parties; (</w:t>
      </w:r>
      <w:r w:rsidR="00483A8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three (3) copies of exhibits</w:t>
      </w:r>
      <w:r w:rsidR="00183F6C">
        <w:rPr>
          <w:rFonts w:ascii="Times New Roman" w:hAnsi="Times New Roman" w:cs="Times New Roman"/>
          <w:sz w:val="24"/>
          <w:szCs w:val="24"/>
        </w:rPr>
        <w:t xml:space="preserve"> in a binder (or bound) with tabs</w:t>
      </w:r>
      <w:r w:rsidR="00170927">
        <w:rPr>
          <w:rFonts w:ascii="Times New Roman" w:hAnsi="Times New Roman" w:cs="Times New Roman"/>
          <w:sz w:val="24"/>
          <w:szCs w:val="24"/>
        </w:rPr>
        <w:t xml:space="preserve"> to chambers</w:t>
      </w:r>
      <w:r w:rsidR="00912266">
        <w:rPr>
          <w:rFonts w:ascii="Times New Roman" w:hAnsi="Times New Roman" w:cs="Times New Roman"/>
          <w:sz w:val="24"/>
          <w:szCs w:val="24"/>
        </w:rPr>
        <w:t>; and (c) an electronic copy (CD or flash drive)</w:t>
      </w:r>
      <w:r>
        <w:rPr>
          <w:rFonts w:ascii="Times New Roman" w:hAnsi="Times New Roman" w:cs="Times New Roman"/>
          <w:sz w:val="24"/>
          <w:szCs w:val="24"/>
        </w:rPr>
        <w:t xml:space="preserve"> to chambers. </w:t>
      </w:r>
      <w:r w:rsidR="00B27B20">
        <w:rPr>
          <w:rFonts w:ascii="Times New Roman" w:hAnsi="Times New Roman" w:cs="Times New Roman"/>
          <w:sz w:val="24"/>
          <w:szCs w:val="24"/>
        </w:rPr>
        <w:t xml:space="preserve">Counsel shall also bring an extra exhibit binder to </w:t>
      </w:r>
      <w:r w:rsidR="004A1CEC">
        <w:rPr>
          <w:rFonts w:ascii="Times New Roman" w:hAnsi="Times New Roman" w:cs="Times New Roman"/>
          <w:sz w:val="24"/>
          <w:szCs w:val="24"/>
        </w:rPr>
        <w:t xml:space="preserve">the trial to </w:t>
      </w:r>
      <w:r w:rsidR="00B27B20">
        <w:rPr>
          <w:rFonts w:ascii="Times New Roman" w:hAnsi="Times New Roman" w:cs="Times New Roman"/>
          <w:sz w:val="24"/>
          <w:szCs w:val="24"/>
        </w:rPr>
        <w:t xml:space="preserve">ensure each witness has a personal copy of each exhibit and to avoid witnesses having to share exhibit binders. </w:t>
      </w:r>
      <w:r w:rsidRPr="0002602C">
        <w:rPr>
          <w:rFonts w:ascii="Times New Roman" w:hAnsi="Times New Roman" w:cs="Times New Roman"/>
          <w:bCs/>
          <w:sz w:val="24"/>
          <w:szCs w:val="24"/>
        </w:rPr>
        <w:t xml:space="preserve">Parties shall ensure that all personal identifying information, including, but not limited to, names of minors, birth dates, social security numbers, </w:t>
      </w:r>
      <w:r w:rsidR="0008628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02602C">
        <w:rPr>
          <w:rFonts w:ascii="Times New Roman" w:hAnsi="Times New Roman" w:cs="Times New Roman"/>
          <w:bCs/>
          <w:sz w:val="24"/>
          <w:szCs w:val="24"/>
        </w:rPr>
        <w:t xml:space="preserve">taxpayer-identification numbers are properly redacted pursuant to Bankruptcy </w:t>
      </w:r>
      <w:r w:rsidR="0022494A">
        <w:rPr>
          <w:rFonts w:ascii="Times New Roman" w:hAnsi="Times New Roman" w:cs="Times New Roman"/>
          <w:bCs/>
          <w:sz w:val="24"/>
          <w:szCs w:val="24"/>
        </w:rPr>
        <w:t xml:space="preserve">Rule </w:t>
      </w:r>
      <w:r w:rsidRPr="0002602C">
        <w:rPr>
          <w:rFonts w:ascii="Times New Roman" w:hAnsi="Times New Roman" w:cs="Times New Roman"/>
          <w:bCs/>
          <w:sz w:val="24"/>
          <w:szCs w:val="24"/>
        </w:rPr>
        <w:t>9037</w:t>
      </w:r>
      <w:r w:rsidR="00854AE1" w:rsidRPr="00854AE1">
        <w:rPr>
          <w:rFonts w:ascii="Times New Roman" w:hAnsi="Times New Roman" w:cs="Times New Roman"/>
          <w:sz w:val="24"/>
          <w:szCs w:val="24"/>
        </w:rPr>
        <w:t>.</w:t>
      </w:r>
    </w:p>
    <w:p w14:paraId="64F76416" w14:textId="0000E61C" w:rsidR="00EA1082" w:rsidRDefault="006C3891" w:rsidP="00EA1082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counsel wishes to present exhibits electronically from a laptop computer or by way of other digital presentation device</w:t>
      </w:r>
      <w:r w:rsidR="004A1C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BAD">
        <w:rPr>
          <w:rFonts w:ascii="Times New Roman" w:hAnsi="Times New Roman" w:cs="Times New Roman"/>
          <w:sz w:val="24"/>
          <w:szCs w:val="24"/>
        </w:rPr>
        <w:t>counsel</w:t>
      </w:r>
      <w:r>
        <w:rPr>
          <w:rFonts w:ascii="Times New Roman" w:hAnsi="Times New Roman" w:cs="Times New Roman"/>
          <w:sz w:val="24"/>
          <w:szCs w:val="24"/>
        </w:rPr>
        <w:t xml:space="preserve"> must provide </w:t>
      </w:r>
      <w:r w:rsidR="00170927">
        <w:rPr>
          <w:rFonts w:ascii="Times New Roman" w:hAnsi="Times New Roman" w:cs="Times New Roman"/>
          <w:sz w:val="24"/>
          <w:szCs w:val="24"/>
        </w:rPr>
        <w:t xml:space="preserve">not less than </w:t>
      </w:r>
      <w:r w:rsidR="004A1CEC">
        <w:rPr>
          <w:rFonts w:ascii="Times New Roman" w:hAnsi="Times New Roman" w:cs="Times New Roman"/>
          <w:sz w:val="24"/>
          <w:szCs w:val="24"/>
        </w:rPr>
        <w:t xml:space="preserve">seven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A1C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business days</w:t>
      </w:r>
      <w:r w:rsidR="005C38F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notice </w:t>
      </w:r>
      <w:r w:rsidR="005C38F9">
        <w:rPr>
          <w:rFonts w:ascii="Times New Roman" w:hAnsi="Times New Roman" w:cs="Times New Roman"/>
          <w:sz w:val="24"/>
          <w:szCs w:val="24"/>
        </w:rPr>
        <w:t>to Judge Patton’s courtroom deputy</w:t>
      </w:r>
      <w:r w:rsidR="00912266">
        <w:rPr>
          <w:rFonts w:ascii="Times New Roman" w:hAnsi="Times New Roman" w:cs="Times New Roman"/>
          <w:sz w:val="24"/>
          <w:szCs w:val="24"/>
        </w:rPr>
        <w:t xml:space="preserve">, Evelyn Ross </w:t>
      </w:r>
      <w:r w:rsidR="00912266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11" w:history="1">
        <w:r w:rsidR="00912266" w:rsidRPr="001F5A13">
          <w:rPr>
            <w:rStyle w:val="Hyperlink"/>
            <w:rFonts w:ascii="Times New Roman" w:hAnsi="Times New Roman" w:cs="Times New Roman"/>
            <w:sz w:val="24"/>
            <w:szCs w:val="24"/>
          </w:rPr>
          <w:t>evelyn_ross@ohnb.uscourts.gov</w:t>
        </w:r>
      </w:hyperlink>
      <w:r w:rsidR="00912266">
        <w:rPr>
          <w:rFonts w:ascii="Times New Roman" w:hAnsi="Times New Roman" w:cs="Times New Roman"/>
          <w:sz w:val="24"/>
          <w:szCs w:val="24"/>
        </w:rPr>
        <w:t xml:space="preserve"> or (330) 742-0950)</w:t>
      </w:r>
      <w:r w:rsidR="005C38F9">
        <w:rPr>
          <w:rFonts w:ascii="Times New Roman" w:hAnsi="Times New Roman" w:cs="Times New Roman"/>
          <w:sz w:val="24"/>
          <w:szCs w:val="24"/>
        </w:rPr>
        <w:t xml:space="preserve"> to ensure security clearance and technical </w:t>
      </w:r>
      <w:r w:rsidR="0008628C">
        <w:rPr>
          <w:rFonts w:ascii="Times New Roman" w:hAnsi="Times New Roman" w:cs="Times New Roman"/>
          <w:sz w:val="24"/>
          <w:szCs w:val="24"/>
        </w:rPr>
        <w:t>compatibility</w:t>
      </w:r>
      <w:r w:rsidR="005C38F9">
        <w:rPr>
          <w:rFonts w:ascii="Times New Roman" w:hAnsi="Times New Roman" w:cs="Times New Roman"/>
          <w:sz w:val="24"/>
          <w:szCs w:val="24"/>
        </w:rPr>
        <w:t>.</w:t>
      </w:r>
    </w:p>
    <w:p w14:paraId="14A7CAFD" w14:textId="7B5D2426" w:rsidR="00EA1082" w:rsidRPr="00E76740" w:rsidRDefault="0049526F" w:rsidP="00EA1082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EA1082">
        <w:rPr>
          <w:rFonts w:ascii="Times New Roman" w:hAnsi="Times New Roman" w:cs="Times New Roman"/>
          <w:bCs/>
          <w:sz w:val="24"/>
          <w:szCs w:val="24"/>
        </w:rPr>
        <w:t xml:space="preserve">This Order shall not be modified except by leave of Court upon good cause shown. Failure to comply with this Order </w:t>
      </w:r>
      <w:r w:rsidR="005B7CBF">
        <w:rPr>
          <w:rFonts w:ascii="Times New Roman" w:hAnsi="Times New Roman" w:cs="Times New Roman"/>
          <w:bCs/>
          <w:sz w:val="24"/>
          <w:szCs w:val="24"/>
        </w:rPr>
        <w:t xml:space="preserve">and the rules governing this </w:t>
      </w:r>
      <w:r w:rsidR="00B2574B">
        <w:rPr>
          <w:rFonts w:ascii="Times New Roman" w:hAnsi="Times New Roman" w:cs="Times New Roman"/>
          <w:bCs/>
          <w:sz w:val="24"/>
          <w:szCs w:val="24"/>
        </w:rPr>
        <w:t>matter</w:t>
      </w:r>
      <w:r w:rsidR="005B7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082">
        <w:rPr>
          <w:rFonts w:ascii="Times New Roman" w:hAnsi="Times New Roman" w:cs="Times New Roman"/>
          <w:bCs/>
          <w:sz w:val="24"/>
          <w:szCs w:val="24"/>
        </w:rPr>
        <w:t>may result in dismissal of the action, default judgment, assessment of costs and attorney’s fees, and</w:t>
      </w:r>
      <w:r w:rsidR="00FB52A1">
        <w:rPr>
          <w:rFonts w:ascii="Times New Roman" w:hAnsi="Times New Roman" w:cs="Times New Roman"/>
          <w:bCs/>
          <w:sz w:val="24"/>
          <w:szCs w:val="24"/>
        </w:rPr>
        <w:t>/or</w:t>
      </w:r>
      <w:r w:rsidRPr="00EA1082">
        <w:rPr>
          <w:rFonts w:ascii="Times New Roman" w:hAnsi="Times New Roman" w:cs="Times New Roman"/>
          <w:bCs/>
          <w:sz w:val="24"/>
          <w:szCs w:val="24"/>
        </w:rPr>
        <w:t xml:space="preserve"> other sanctions</w:t>
      </w:r>
      <w:r w:rsidR="00FB52A1">
        <w:rPr>
          <w:rFonts w:ascii="Times New Roman" w:hAnsi="Times New Roman" w:cs="Times New Roman"/>
          <w:bCs/>
          <w:sz w:val="24"/>
          <w:szCs w:val="24"/>
        </w:rPr>
        <w:t xml:space="preserve"> the Court may deem </w:t>
      </w:r>
      <w:r w:rsidR="00F83F33">
        <w:rPr>
          <w:rFonts w:ascii="Times New Roman" w:hAnsi="Times New Roman" w:cs="Times New Roman"/>
          <w:bCs/>
          <w:sz w:val="24"/>
          <w:szCs w:val="24"/>
        </w:rPr>
        <w:t>appropriate under the circumstances</w:t>
      </w:r>
      <w:r w:rsidR="00C2200D">
        <w:rPr>
          <w:rFonts w:ascii="Times New Roman" w:hAnsi="Times New Roman" w:cs="Times New Roman"/>
          <w:bCs/>
          <w:sz w:val="24"/>
          <w:szCs w:val="24"/>
        </w:rPr>
        <w:t xml:space="preserve"> pursuant to </w:t>
      </w:r>
      <w:r w:rsidR="00D16E75">
        <w:rPr>
          <w:rFonts w:ascii="Times New Roman" w:hAnsi="Times New Roman" w:cs="Times New Roman"/>
          <w:bCs/>
          <w:sz w:val="24"/>
          <w:szCs w:val="24"/>
        </w:rPr>
        <w:t xml:space="preserve">Civil Rule </w:t>
      </w:r>
      <w:r w:rsidR="00C2200D">
        <w:rPr>
          <w:rFonts w:ascii="Times New Roman" w:hAnsi="Times New Roman" w:cs="Times New Roman"/>
          <w:bCs/>
          <w:sz w:val="24"/>
          <w:szCs w:val="24"/>
        </w:rPr>
        <w:t>37</w:t>
      </w:r>
      <w:r w:rsidR="00454F94">
        <w:rPr>
          <w:rFonts w:ascii="Times New Roman" w:hAnsi="Times New Roman" w:cs="Times New Roman"/>
          <w:bCs/>
          <w:sz w:val="24"/>
          <w:szCs w:val="24"/>
        </w:rPr>
        <w:t>,</w:t>
      </w:r>
      <w:r w:rsidR="00C2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CE5" w:rsidRPr="00723574">
        <w:rPr>
          <w:rFonts w:ascii="Times New Roman" w:hAnsi="Times New Roman" w:cs="Times New Roman"/>
          <w:sz w:val="24"/>
          <w:szCs w:val="24"/>
        </w:rPr>
        <w:t>incorporated and made applicable to this proceeding</w:t>
      </w:r>
      <w:r w:rsidR="00DB3CE5">
        <w:rPr>
          <w:rFonts w:ascii="Times New Roman" w:hAnsi="Times New Roman" w:cs="Times New Roman"/>
          <w:sz w:val="24"/>
          <w:szCs w:val="24"/>
        </w:rPr>
        <w:t xml:space="preserve"> by</w:t>
      </w:r>
      <w:r w:rsidR="00C2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E75">
        <w:rPr>
          <w:rFonts w:ascii="Times New Roman" w:hAnsi="Times New Roman" w:cs="Times New Roman"/>
          <w:bCs/>
          <w:sz w:val="24"/>
          <w:szCs w:val="24"/>
        </w:rPr>
        <w:t xml:space="preserve">Bankruptcy Rule </w:t>
      </w:r>
      <w:r w:rsidR="00C2200D">
        <w:rPr>
          <w:rFonts w:ascii="Times New Roman" w:hAnsi="Times New Roman" w:cs="Times New Roman"/>
          <w:bCs/>
          <w:sz w:val="24"/>
          <w:szCs w:val="24"/>
        </w:rPr>
        <w:t>7037</w:t>
      </w:r>
      <w:r w:rsidRPr="00EA1082">
        <w:rPr>
          <w:rFonts w:ascii="Times New Roman" w:hAnsi="Times New Roman" w:cs="Times New Roman"/>
          <w:bCs/>
          <w:sz w:val="24"/>
          <w:szCs w:val="24"/>
        </w:rPr>
        <w:t>.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>See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>e.g.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>National Hockey League v. Metropolitan Hockey Club</w:t>
      </w:r>
      <w:r w:rsidR="00B2574B">
        <w:rPr>
          <w:rFonts w:ascii="Times New Roman" w:hAnsi="Times New Roman" w:cs="Times New Roman"/>
          <w:bCs/>
          <w:sz w:val="24"/>
          <w:szCs w:val="24"/>
          <w:u w:val="single"/>
        </w:rPr>
        <w:t>, Inc.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, 427 U.S. 639, 641-43 (1976); </w:t>
      </w:r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>Link v. Wabash R</w:t>
      </w:r>
      <w:r w:rsidR="00B37A92">
        <w:rPr>
          <w:rFonts w:ascii="Times New Roman" w:hAnsi="Times New Roman" w:cs="Times New Roman"/>
          <w:bCs/>
          <w:sz w:val="24"/>
          <w:szCs w:val="24"/>
          <w:u w:val="single"/>
        </w:rPr>
        <w:t>. Co.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, 370 U.S. </w:t>
      </w:r>
      <w:r w:rsidR="00B37A92">
        <w:rPr>
          <w:rFonts w:ascii="Times New Roman" w:hAnsi="Times New Roman" w:cs="Times New Roman"/>
          <w:bCs/>
          <w:sz w:val="24"/>
          <w:szCs w:val="24"/>
        </w:rPr>
        <w:t xml:space="preserve">626, 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>633–34 (1962)</w:t>
      </w:r>
      <w:r w:rsidR="00F83F33">
        <w:rPr>
          <w:rFonts w:ascii="Times New Roman" w:hAnsi="Times New Roman" w:cs="Times New Roman"/>
          <w:bCs/>
          <w:sz w:val="24"/>
          <w:szCs w:val="24"/>
        </w:rPr>
        <w:t>;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 xml:space="preserve">Taylor v. </w:t>
      </w:r>
      <w:proofErr w:type="spellStart"/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>Medtronics</w:t>
      </w:r>
      <w:proofErr w:type="spellEnd"/>
      <w:r w:rsidR="00854AE1" w:rsidRPr="00EA1082">
        <w:rPr>
          <w:rFonts w:ascii="Times New Roman" w:hAnsi="Times New Roman" w:cs="Times New Roman"/>
          <w:bCs/>
          <w:sz w:val="24"/>
          <w:szCs w:val="24"/>
          <w:u w:val="single"/>
        </w:rPr>
        <w:t>, Inc.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>, 861 F.2d 980, 986</w:t>
      </w:r>
      <w:r w:rsidR="004D5754" w:rsidRPr="00EA1082">
        <w:rPr>
          <w:rFonts w:ascii="Times New Roman" w:hAnsi="Times New Roman" w:cs="Times New Roman"/>
          <w:bCs/>
          <w:sz w:val="24"/>
          <w:szCs w:val="24"/>
        </w:rPr>
        <w:t>-87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 xml:space="preserve"> (6th</w:t>
      </w:r>
      <w:r w:rsidR="00F35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AE1" w:rsidRPr="00EA1082">
        <w:rPr>
          <w:rFonts w:ascii="Times New Roman" w:hAnsi="Times New Roman" w:cs="Times New Roman"/>
          <w:bCs/>
          <w:sz w:val="24"/>
          <w:szCs w:val="24"/>
        </w:rPr>
        <w:t>Cir. 1988)</w:t>
      </w:r>
      <w:r w:rsidR="00EA10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40C57C" w14:textId="31781DB3" w:rsidR="00E76740" w:rsidRPr="00E76740" w:rsidRDefault="00E76740" w:rsidP="00E76740">
      <w:pPr>
        <w:pStyle w:val="ListParagraph"/>
        <w:numPr>
          <w:ilvl w:val="0"/>
          <w:numId w:val="1"/>
        </w:numPr>
        <w:spacing w:after="0" w:line="48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327C">
        <w:rPr>
          <w:rFonts w:ascii="Times New Roman" w:hAnsi="Times New Roman" w:cs="Times New Roman"/>
          <w:bCs/>
          <w:sz w:val="24"/>
          <w:szCs w:val="24"/>
        </w:rPr>
        <w:t xml:space="preserve">Parties may contact Judge Patton’s courtroom deputy, </w:t>
      </w:r>
      <w:r w:rsidR="00740879">
        <w:rPr>
          <w:rFonts w:ascii="Times New Roman" w:hAnsi="Times New Roman" w:cs="Times New Roman"/>
          <w:bCs/>
          <w:sz w:val="24"/>
          <w:szCs w:val="24"/>
        </w:rPr>
        <w:t xml:space="preserve">Evelyn Ross </w:t>
      </w:r>
      <w:r w:rsidRPr="0053327C">
        <w:rPr>
          <w:rFonts w:ascii="Times New Roman" w:hAnsi="Times New Roman" w:cs="Times New Roman"/>
          <w:bCs/>
          <w:sz w:val="24"/>
          <w:szCs w:val="24"/>
        </w:rPr>
        <w:t>(</w:t>
      </w:r>
      <w:hyperlink r:id="rId12" w:history="1">
        <w:r w:rsidR="0074087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evelyn_ross@ohnb.uscourts.gov</w:t>
        </w:r>
      </w:hyperlink>
      <w:r w:rsidRPr="0053327C">
        <w:rPr>
          <w:rFonts w:ascii="Times New Roman" w:hAnsi="Times New Roman" w:cs="Times New Roman"/>
          <w:bCs/>
          <w:sz w:val="24"/>
          <w:szCs w:val="24"/>
        </w:rPr>
        <w:t xml:space="preserve"> or (330) 742-0950), for all matters regarding scheduling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51446D" w14:textId="5EE51C24" w:rsidR="004429E7" w:rsidRPr="002736E0" w:rsidRDefault="002736E0" w:rsidP="002736E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  <w:bookmarkEnd w:id="0"/>
    </w:p>
    <w:sectPr w:rsidR="004429E7" w:rsidRPr="002736E0" w:rsidSect="00EA1082"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4386" w14:textId="77777777" w:rsidR="00C3070A" w:rsidRDefault="00C3070A" w:rsidP="0002602C">
      <w:pPr>
        <w:spacing w:after="0" w:line="240" w:lineRule="auto"/>
      </w:pPr>
      <w:r>
        <w:separator/>
      </w:r>
    </w:p>
  </w:endnote>
  <w:endnote w:type="continuationSeparator" w:id="0">
    <w:p w14:paraId="30B4B1E5" w14:textId="77777777" w:rsidR="00C3070A" w:rsidRDefault="00C3070A" w:rsidP="0002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572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0BB99B9" w14:textId="1D08960E" w:rsidR="008D1C0D" w:rsidRPr="00D07721" w:rsidRDefault="008D1C0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77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7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7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77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77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D2F0" w14:textId="5E9C3245" w:rsidR="008D1C0D" w:rsidRPr="00874026" w:rsidRDefault="008D1C0D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3CF4EF2" w14:textId="77777777" w:rsidR="008D1C0D" w:rsidRDefault="008D1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D5E3" w14:textId="363C45B4" w:rsidR="008D1C0D" w:rsidRDefault="008D1C0D" w:rsidP="002C730B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C69D" w14:textId="77777777" w:rsidR="00C3070A" w:rsidRDefault="00C3070A" w:rsidP="0002602C">
      <w:pPr>
        <w:spacing w:after="0" w:line="240" w:lineRule="auto"/>
      </w:pPr>
      <w:r>
        <w:separator/>
      </w:r>
    </w:p>
  </w:footnote>
  <w:footnote w:type="continuationSeparator" w:id="0">
    <w:p w14:paraId="078624D2" w14:textId="77777777" w:rsidR="00C3070A" w:rsidRDefault="00C3070A" w:rsidP="0002602C">
      <w:pPr>
        <w:spacing w:after="0" w:line="240" w:lineRule="auto"/>
      </w:pPr>
      <w:r>
        <w:continuationSeparator/>
      </w:r>
    </w:p>
  </w:footnote>
  <w:footnote w:id="1">
    <w:p w14:paraId="78978834" w14:textId="77777777" w:rsidR="004A1CEC" w:rsidRPr="007B0E0C" w:rsidRDefault="004A1CEC" w:rsidP="004A1CEC">
      <w:pPr>
        <w:pStyle w:val="FootnoteText"/>
        <w:ind w:left="720" w:hanging="720"/>
        <w:jc w:val="both"/>
        <w:rPr>
          <w:rFonts w:ascii="Times New Roman" w:hAnsi="Times New Roman" w:cs="Times New Roman"/>
        </w:rPr>
      </w:pPr>
      <w:r w:rsidRPr="007B0E0C">
        <w:rPr>
          <w:rStyle w:val="FootnoteReference"/>
          <w:rFonts w:ascii="Times New Roman" w:hAnsi="Times New Roman" w:cs="Times New Roman"/>
        </w:rPr>
        <w:footnoteRef/>
      </w:r>
      <w:r w:rsidRPr="007B0E0C">
        <w:rPr>
          <w:rFonts w:ascii="Times New Roman" w:hAnsi="Times New Roman" w:cs="Times New Roman"/>
        </w:rPr>
        <w:t xml:space="preserve"> </w:t>
      </w:r>
      <w:r w:rsidRPr="007B0E0C">
        <w:rPr>
          <w:rFonts w:ascii="Times New Roman" w:hAnsi="Times New Roman" w:cs="Times New Roman"/>
        </w:rPr>
        <w:tab/>
      </w:r>
      <w:r w:rsidRPr="007B0E0C">
        <w:rPr>
          <w:rFonts w:ascii="Times New Roman" w:eastAsia="Yu Gothic" w:hAnsi="Times New Roman" w:cs="Times New Roman"/>
        </w:rPr>
        <w:t>A participant’s registration email must include the following information: (a) case name and case number; (b) hearing date and time(s); (c) participant’s name, address, and telephone number; and (d) name of the party or parties whom participant represents.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5269"/>
    <w:multiLevelType w:val="hybridMultilevel"/>
    <w:tmpl w:val="8644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41E4"/>
    <w:multiLevelType w:val="hybridMultilevel"/>
    <w:tmpl w:val="4CE422B8"/>
    <w:lvl w:ilvl="0" w:tplc="AC10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846189">
    <w:abstractNumId w:val="0"/>
  </w:num>
  <w:num w:numId="2" w16cid:durableId="593972721">
    <w:abstractNumId w:val="1"/>
  </w:num>
  <w:num w:numId="3" w16cid:durableId="843587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61"/>
    <w:rsid w:val="00013A9B"/>
    <w:rsid w:val="0002602C"/>
    <w:rsid w:val="000504FB"/>
    <w:rsid w:val="00057877"/>
    <w:rsid w:val="0008628C"/>
    <w:rsid w:val="000D1A19"/>
    <w:rsid w:val="0010592E"/>
    <w:rsid w:val="0014654C"/>
    <w:rsid w:val="00170927"/>
    <w:rsid w:val="00183F6C"/>
    <w:rsid w:val="001921DE"/>
    <w:rsid w:val="001960A6"/>
    <w:rsid w:val="001A3F64"/>
    <w:rsid w:val="001E3DA5"/>
    <w:rsid w:val="001F5775"/>
    <w:rsid w:val="00202BE4"/>
    <w:rsid w:val="0022494A"/>
    <w:rsid w:val="0023707C"/>
    <w:rsid w:val="002736E0"/>
    <w:rsid w:val="0029736E"/>
    <w:rsid w:val="002A34BB"/>
    <w:rsid w:val="002C6426"/>
    <w:rsid w:val="002C730B"/>
    <w:rsid w:val="00330BDD"/>
    <w:rsid w:val="00361B4B"/>
    <w:rsid w:val="00365992"/>
    <w:rsid w:val="00371A75"/>
    <w:rsid w:val="003D39FD"/>
    <w:rsid w:val="003E0B0E"/>
    <w:rsid w:val="00415DDE"/>
    <w:rsid w:val="00441808"/>
    <w:rsid w:val="004429E7"/>
    <w:rsid w:val="00454F94"/>
    <w:rsid w:val="004671FC"/>
    <w:rsid w:val="004745E2"/>
    <w:rsid w:val="00483A86"/>
    <w:rsid w:val="00484102"/>
    <w:rsid w:val="0049526F"/>
    <w:rsid w:val="004A1CEC"/>
    <w:rsid w:val="004D5754"/>
    <w:rsid w:val="004E78F3"/>
    <w:rsid w:val="005129BB"/>
    <w:rsid w:val="00557DDC"/>
    <w:rsid w:val="005B7CBF"/>
    <w:rsid w:val="005C38F9"/>
    <w:rsid w:val="005E0904"/>
    <w:rsid w:val="00610797"/>
    <w:rsid w:val="00696D61"/>
    <w:rsid w:val="006C3891"/>
    <w:rsid w:val="006C4516"/>
    <w:rsid w:val="006F62EB"/>
    <w:rsid w:val="0072743C"/>
    <w:rsid w:val="00730277"/>
    <w:rsid w:val="00740879"/>
    <w:rsid w:val="00790A78"/>
    <w:rsid w:val="007B0E0C"/>
    <w:rsid w:val="007B6EA0"/>
    <w:rsid w:val="007C507D"/>
    <w:rsid w:val="007C7ABD"/>
    <w:rsid w:val="008136CD"/>
    <w:rsid w:val="00845F14"/>
    <w:rsid w:val="00854AE1"/>
    <w:rsid w:val="00867057"/>
    <w:rsid w:val="00874026"/>
    <w:rsid w:val="008D1C0D"/>
    <w:rsid w:val="00912266"/>
    <w:rsid w:val="0095148B"/>
    <w:rsid w:val="009559F7"/>
    <w:rsid w:val="009800E0"/>
    <w:rsid w:val="00983E5D"/>
    <w:rsid w:val="009D6733"/>
    <w:rsid w:val="00A0732B"/>
    <w:rsid w:val="00A57DED"/>
    <w:rsid w:val="00A84EC7"/>
    <w:rsid w:val="00AD1926"/>
    <w:rsid w:val="00B2574B"/>
    <w:rsid w:val="00B27B20"/>
    <w:rsid w:val="00B37A92"/>
    <w:rsid w:val="00B424A9"/>
    <w:rsid w:val="00B42AF8"/>
    <w:rsid w:val="00B75665"/>
    <w:rsid w:val="00B84632"/>
    <w:rsid w:val="00C021D4"/>
    <w:rsid w:val="00C2200D"/>
    <w:rsid w:val="00C3070A"/>
    <w:rsid w:val="00CB5A0D"/>
    <w:rsid w:val="00CE13B3"/>
    <w:rsid w:val="00D07721"/>
    <w:rsid w:val="00D16E75"/>
    <w:rsid w:val="00D50BAD"/>
    <w:rsid w:val="00DB3CE5"/>
    <w:rsid w:val="00E00981"/>
    <w:rsid w:val="00E13917"/>
    <w:rsid w:val="00E20EF8"/>
    <w:rsid w:val="00E31293"/>
    <w:rsid w:val="00E76740"/>
    <w:rsid w:val="00E805DF"/>
    <w:rsid w:val="00E971C9"/>
    <w:rsid w:val="00EA1082"/>
    <w:rsid w:val="00EF4BFE"/>
    <w:rsid w:val="00F15AD8"/>
    <w:rsid w:val="00F35C3B"/>
    <w:rsid w:val="00F83F33"/>
    <w:rsid w:val="00FB52A1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4754"/>
  <w15:chartTrackingRefBased/>
  <w15:docId w15:val="{71FBD9B1-CE34-41E0-B5C6-7F6C6250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2C"/>
  </w:style>
  <w:style w:type="paragraph" w:styleId="Footer">
    <w:name w:val="footer"/>
    <w:basedOn w:val="Normal"/>
    <w:link w:val="FooterChar"/>
    <w:uiPriority w:val="99"/>
    <w:unhideWhenUsed/>
    <w:rsid w:val="00026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2C"/>
  </w:style>
  <w:style w:type="character" w:styleId="Hyperlink">
    <w:name w:val="Hyperlink"/>
    <w:basedOn w:val="DefaultParagraphFont"/>
    <w:uiPriority w:val="99"/>
    <w:unhideWhenUsed/>
    <w:rsid w:val="00E767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0879"/>
    <w:pPr>
      <w:spacing w:after="0" w:line="240" w:lineRule="auto"/>
    </w:pPr>
  </w:style>
  <w:style w:type="paragraph" w:customStyle="1" w:styleId="Default">
    <w:name w:val="Default"/>
    <w:rsid w:val="00740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1C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1C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1CE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A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ndon_pasvanis@ohnb.us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lyn_ross@ohnb.uscourts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tonZoom_Registration@ohnb.uscourts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F685-098A-4BA8-9C1F-CB0AA25C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1682</Words>
  <Characters>9594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Tiiara Patton</dc:creator>
  <cp:keywords/>
  <dc:description/>
  <cp:lastModifiedBy>David Hofsess</cp:lastModifiedBy>
  <cp:revision>2</cp:revision>
  <cp:lastPrinted>2020-09-16T15:53:00Z</cp:lastPrinted>
  <dcterms:created xsi:type="dcterms:W3CDTF">2024-06-21T19:16:00Z</dcterms:created>
  <dcterms:modified xsi:type="dcterms:W3CDTF">2024-06-21T19:16:00Z</dcterms:modified>
</cp:coreProperties>
</file>